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rPr>
          <w:rFonts w:hint="eastAsia"/>
          <w:sz w:val="28"/>
          <w:szCs w:val="36"/>
          <w:lang w:val="en-US" w:eastAsia="zh-CN"/>
        </w:rPr>
      </w:pPr>
      <w:r>
        <w:rPr>
          <w:rFonts w:hint="eastAsia"/>
          <w:sz w:val="28"/>
          <w:szCs w:val="36"/>
          <w:lang w:val="en-US" w:eastAsia="zh-CN"/>
        </w:rPr>
        <w:t>附件1-1：商家资料清单（便利店）</w:t>
      </w:r>
    </w:p>
    <w:p>
      <w:pPr>
        <w:pStyle w:val="NormalWeb"/>
        <w:shd w:val="clear" w:color="auto" w:fill="FFFFFF"/>
        <w:spacing w:before="0" w:beforeAutospacing="0" w:after="0" w:afterAutospacing="0" w:line="360" w:lineRule="auto"/>
        <w:jc w:val="center"/>
        <w:rPr>
          <w:rFonts w:hint="eastAsia"/>
          <w:lang w:val="en-US" w:eastAsia="zh-CN"/>
        </w:rPr>
      </w:pPr>
      <w:r>
        <w:rPr>
          <w:rFonts w:hint="eastAsia"/>
          <w:b/>
          <w:sz w:val="32"/>
          <w:szCs w:val="32"/>
          <w:lang w:val="en-US" w:eastAsia="zh-CN"/>
        </w:rPr>
        <w:t>商家</w:t>
      </w:r>
      <w:r>
        <w:rPr>
          <w:rFonts w:hint="eastAsia"/>
          <w:b/>
          <w:sz w:val="32"/>
          <w:szCs w:val="32"/>
        </w:rPr>
        <w:t>报名资料</w:t>
      </w:r>
      <w:r>
        <w:rPr>
          <w:b/>
          <w:sz w:val="32"/>
          <w:szCs w:val="32"/>
        </w:rPr>
        <w:t>清单</w:t>
      </w:r>
      <w:r>
        <w:rPr>
          <w:rFonts w:hint="eastAsia"/>
          <w:b/>
          <w:sz w:val="32"/>
          <w:szCs w:val="32"/>
          <w:lang w:eastAsia="zh-CN"/>
        </w:rPr>
        <w:t>（</w:t>
      </w:r>
      <w:r>
        <w:rPr>
          <w:rFonts w:hint="eastAsia"/>
          <w:b/>
          <w:sz w:val="32"/>
          <w:szCs w:val="32"/>
          <w:lang w:val="en-US" w:eastAsia="zh-CN"/>
        </w:rPr>
        <w:t>便利店</w:t>
      </w:r>
      <w:r>
        <w:rPr>
          <w:rFonts w:hint="eastAsia"/>
          <w:b/>
          <w:sz w:val="32"/>
          <w:szCs w:val="32"/>
          <w:lang w:eastAsia="zh-CN"/>
        </w:rPr>
        <w:t>）</w:t>
      </w:r>
    </w:p>
    <w:p>
      <w:pPr>
        <w:pStyle w:val="a"/>
        <w:numPr>
          <w:ilvl w:val="0"/>
          <w:numId w:val="1"/>
        </w:numPr>
        <w:spacing w:line="360" w:lineRule="auto"/>
        <w:jc w:val="both"/>
        <w:outlineLvl w:val="1"/>
        <w:rPr>
          <w:color w:val="auto"/>
          <w:highlight w:val="none"/>
        </w:rPr>
      </w:pPr>
      <w:bookmarkStart w:id="0" w:name="_Toc15600"/>
      <w:r>
        <w:rPr>
          <w:rFonts w:ascii="宋体" w:hAnsi="宋体" w:cs="宋体" w:hint="eastAsia"/>
          <w:b/>
          <w:bCs/>
          <w:color w:val="auto"/>
          <w:highlight w:val="none"/>
        </w:rPr>
        <w:t>技术方案分册目录</w:t>
      </w:r>
      <w:bookmarkEnd w:id="0"/>
      <w:bookmarkStart w:id="1" w:name="_Toc20296"/>
      <w:bookmarkEnd w:id="1"/>
    </w:p>
    <w:tbl>
      <w:tblPr>
        <w:tblStyle w:val="TableGrid"/>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517"/>
        <w:gridCol w:w="2306"/>
        <w:gridCol w:w="2534"/>
        <w:gridCol w:w="1520"/>
      </w:tblGrid>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一级目录</w:t>
            </w: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二级目录</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三级目录</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备注</w:t>
            </w:r>
          </w:p>
        </w:tc>
        <w:tc>
          <w:tcPr>
            <w:tcW w:w="1520"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对应页码</w:t>
            </w: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1.基本情况</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基本资料及承诺书</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1.1合作申请书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按照合作申请书格式签字并加盖单位公章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1.2企业法人营业执照副本复印件</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1.3法人、授权委托人身份证明复印件及授权委托书原件</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1.4符合</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条件承诺书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无</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中不合格</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情形，需要提交承诺书，加盖单位公章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须在</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发布后从“国家企业信用信息公示系统”网站（www.gsxt.gov.cn）截图并加盖公章。</w:t>
            </w:r>
          </w:p>
          <w:p>
            <w:pPr>
              <w:spacing w:line="360" w:lineRule="auto"/>
              <w:rPr>
                <w:rFonts w:ascii="宋体" w:hAnsi="宋体" w:cs="宋体"/>
                <w:color w:val="auto"/>
                <w:szCs w:val="21"/>
                <w:highlight w:val="none"/>
              </w:rPr>
            </w:pP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37"/>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1.6保密承诺书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2.综合实力</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综合实力</w:t>
            </w:r>
          </w:p>
        </w:tc>
        <w:tc>
          <w:tcPr>
            <w:tcW w:w="2306" w:type="dxa"/>
            <w:vAlign w:val="center"/>
          </w:tcPr>
          <w:p>
            <w:pPr>
              <w:spacing w:line="360" w:lineRule="auto"/>
              <w:rPr>
                <w:rFonts w:ascii="宋体" w:hAnsi="宋体" w:eastAsiaTheme="minorEastAsia" w:cs="宋体"/>
                <w:color w:val="auto"/>
                <w:szCs w:val="21"/>
                <w:highlight w:val="none"/>
              </w:rPr>
            </w:pPr>
            <w:r>
              <w:rPr>
                <w:rFonts w:asciiTheme="minorEastAsia" w:eastAsiaTheme="minorEastAsia" w:hAnsiTheme="minorEastAsia" w:cs="宋体" w:hint="eastAsia"/>
                <w:color w:val="auto"/>
                <w:szCs w:val="21"/>
                <w:highlight w:val="none"/>
              </w:rPr>
              <w:t>2.1</w:t>
            </w:r>
            <w:r>
              <w:rPr>
                <w:rFonts w:ascii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yellow"/>
              </w:rPr>
              <w:t>2019-2022</w:t>
            </w:r>
            <w:r>
              <w:rPr>
                <w:rFonts w:asciiTheme="minorEastAsia" w:eastAsiaTheme="minorEastAsia" w:hAnsiTheme="minorEastAsia" w:cs="宋体" w:hint="eastAsia"/>
                <w:color w:val="auto"/>
                <w:szCs w:val="21"/>
                <w:highlight w:val="none"/>
              </w:rPr>
              <w:t>年中任意连续三年的财务报表复印件（须有会计师事务所签章）</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其中包括：资产负债表、利润表，加盖单位公章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2.2 </w:t>
            </w:r>
            <w:r>
              <w:rPr>
                <w:rFonts w:ascii="宋体" w:hAnsi="宋体" w:cs="宋体" w:hint="eastAsia"/>
                <w:color w:val="auto"/>
                <w:szCs w:val="21"/>
                <w:highlight w:val="none"/>
                <w:lang w:eastAsia="zh-CN"/>
              </w:rPr>
              <w:t>2022或2023</w:t>
            </w:r>
            <w:r>
              <w:rPr>
                <w:rFonts w:ascii="宋体" w:hAnsi="宋体" w:cs="宋体" w:hint="eastAsia"/>
                <w:color w:val="auto"/>
                <w:szCs w:val="21"/>
                <w:highlight w:val="none"/>
              </w:rPr>
              <w:t>年度纳税信用等级证明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3.经营能力</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及其分子公司在中国年旅客吞吐量</w:t>
            </w:r>
            <w:r>
              <w:rPr>
                <w:rFonts w:ascii="宋体" w:hAnsi="宋体" w:cs="宋体" w:hint="eastAsia"/>
                <w:color w:val="auto"/>
                <w:szCs w:val="21"/>
                <w:highlight w:val="none"/>
                <w:lang w:eastAsia="zh-CN"/>
              </w:rPr>
              <w:t>2021-2023</w:t>
            </w:r>
            <w:r>
              <w:rPr>
                <w:rFonts w:ascii="宋体" w:hAnsi="宋体" w:cs="宋体" w:hint="eastAsia"/>
                <w:color w:val="auto"/>
                <w:szCs w:val="21"/>
                <w:highlight w:val="none"/>
              </w:rPr>
              <w:t>年期间任意一年1500万人次以上及港澳台机场的布局情况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3.1.2布局列表的证明文件，包括但不限于合同复印件或业主方证明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3.2.2布局列表证明文件，包括但不限于合同复印件或业主方证明。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3.3经营模式及</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提供品牌直营或授权经营模式的承诺书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年受国内机场业主方的获奖情况，提供获奖证书（公司级）</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清晰的证书复印件，加盖公章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4.经营方案</w:t>
            </w: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4.1装修方案、效果图</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品牌统一的装修风格效果图；或者</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针对机场</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标段的装修方案及效果图</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.2</w:t>
            </w:r>
            <w:r>
              <w:rPr>
                <w:rFonts w:ascii="宋体" w:hAnsi="宋体" w:cs="宋体" w:hint="eastAsia"/>
                <w:color w:val="auto"/>
                <w:szCs w:val="21"/>
                <w:highlight w:val="none"/>
              </w:rPr>
              <w:t>本项目特色服务</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向旅客提供特色服务承诺书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管理制度</w:t>
            </w:r>
          </w:p>
        </w:tc>
        <w:tc>
          <w:tcPr>
            <w:tcW w:w="2306" w:type="dxa"/>
            <w:vAlign w:val="center"/>
          </w:tcPr>
          <w:p>
            <w:pPr>
              <w:pStyle w:val="11"/>
              <w:spacing w:line="360" w:lineRule="auto"/>
              <w:ind w:firstLine="0"/>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.1日常管理制度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.2应急制度（含投诉处理制度）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.3库存管理制度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562"/>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4</w:t>
            </w:r>
            <w:r>
              <w:rPr>
                <w:rFonts w:ascii="宋体" w:hAnsi="宋体" w:cs="宋体" w:hint="eastAsia"/>
                <w:color w:val="auto"/>
                <w:szCs w:val="21"/>
                <w:highlight w:val="none"/>
              </w:rPr>
              <w:t>本项目运营方案</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本项目运营方案包括但不限于</w:t>
            </w:r>
            <w:r>
              <w:rPr>
                <w:rFonts w:asciiTheme="minorEastAsia" w:eastAsiaTheme="minorEastAsia" w:hAnsiTheme="minorEastAsia" w:cs="宋体" w:hint="eastAsia"/>
                <w:color w:val="auto"/>
                <w:szCs w:val="21"/>
                <w:highlight w:val="none"/>
              </w:rPr>
              <w:t>临时店过渡方案、</w:t>
            </w:r>
            <w:r>
              <w:rPr>
                <w:rFonts w:ascii="宋体" w:hAnsi="宋体" w:cs="宋体" w:hint="eastAsia"/>
                <w:color w:val="auto"/>
                <w:szCs w:val="21"/>
                <w:highlight w:val="none"/>
              </w:rPr>
              <w:t>产品构成、人均消费、销售预测等信息</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业绩</w:t>
            </w: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5.1品牌介绍</w:t>
            </w:r>
          </w:p>
        </w:tc>
        <w:tc>
          <w:tcPr>
            <w:tcW w:w="2306" w:type="dxa"/>
            <w:vAlign w:val="center"/>
          </w:tcPr>
          <w:p>
            <w:pPr>
              <w:spacing w:line="360" w:lineRule="auto"/>
              <w:rPr>
                <w:color w:val="auto"/>
                <w:highlight w:val="none"/>
              </w:rPr>
            </w:pPr>
            <w:r>
              <w:rPr>
                <w:rFonts w:asciiTheme="minorEastAsia" w:eastAsiaTheme="minorEastAsia" w:hAnsiTheme="minorEastAsia" w:cs="宋体" w:hint="eastAsia"/>
                <w:color w:val="auto"/>
                <w:szCs w:val="21"/>
                <w:highlight w:val="none"/>
              </w:rPr>
              <w:t>品牌的介绍资料，</w:t>
            </w:r>
            <w:r>
              <w:rPr>
                <w:rFonts w:asciiTheme="minorEastAsia" w:hAnsiTheme="minorEastAsia" w:cs="宋体" w:hint="eastAsia"/>
                <w:color w:val="auto"/>
                <w:szCs w:val="21"/>
                <w:highlight w:val="none"/>
                <w:lang w:eastAsia="zh-CN"/>
              </w:rPr>
              <w:t>招商</w:t>
            </w:r>
            <w:r>
              <w:rPr>
                <w:rFonts w:asciiTheme="minorEastAsia" w:eastAsiaTheme="minorEastAsia" w:hAnsiTheme="minorEastAsia" w:cs="宋体" w:hint="eastAsia"/>
                <w:color w:val="auto"/>
                <w:szCs w:val="21"/>
                <w:highlight w:val="none"/>
              </w:rPr>
              <w:t>时须提供品牌定位证明资料，包括但不限于入驻当地机场或购物中心、热门商业街区及名称，产品价格，品牌介绍，大众点评截图等。</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5.2品牌权益证明</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品牌的商标注册证及授权书。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经营多个品牌，需要分别提供品牌资料、注册证及授权书，并加盖单位公章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5.</w:t>
            </w:r>
            <w:r>
              <w:rPr>
                <w:rFonts w:asciiTheme="minorEastAsia" w:eastAsiaTheme="minorEastAsia" w:hAnsiTheme="minorEastAsia" w:cs="宋体"/>
                <w:color w:val="auto"/>
                <w:szCs w:val="21"/>
                <w:highlight w:val="none"/>
              </w:rPr>
              <w:t>3</w:t>
            </w:r>
            <w:r>
              <w:rPr>
                <w:rFonts w:ascii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自营店铺销售业绩</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val="en-US" w:eastAsia="zh-CN"/>
              </w:rPr>
              <w:t>2023</w:t>
            </w:r>
            <w:r>
              <w:rPr>
                <w:rFonts w:ascii="宋体" w:hAnsi="宋体" w:cs="宋体" w:hint="eastAsia"/>
                <w:color w:val="auto"/>
                <w:szCs w:val="21"/>
                <w:highlight w:val="none"/>
              </w:rPr>
              <w:t>年单店销售额坪效（单店年销售额/该单店面积所占平方米数）证明材料。</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提供场地出租方或商业综合体等第三方盖章的证明材料</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449"/>
          <w:jc w:val="center"/>
        </w:trPr>
        <w:tc>
          <w:tcPr>
            <w:tcW w:w="1288"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6.</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需要提供的其他资料</w:t>
            </w:r>
          </w:p>
        </w:tc>
        <w:tc>
          <w:tcPr>
            <w:tcW w:w="7877" w:type="dxa"/>
            <w:gridSpan w:val="4"/>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（1）对标承诺书；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投报便利店品牌连锁店已在全球城市布局数量的承诺函；</w:t>
            </w:r>
          </w:p>
          <w:p>
            <w:pPr>
              <w:spacing w:line="360" w:lineRule="auto"/>
              <w:rPr>
                <w:rFonts w:ascii="宋体" w:hAnsi="宋体" w:cs="宋体"/>
                <w:color w:val="auto"/>
                <w:szCs w:val="21"/>
                <w:highlight w:val="none"/>
              </w:rPr>
            </w:pPr>
            <w:r>
              <w:rPr>
                <w:rFonts w:ascii="宋体" w:hAnsi="宋体" w:cs="宋体" w:hint="eastAsia"/>
                <w:color w:val="auto"/>
                <w:szCs w:val="21"/>
                <w:highlight w:val="none"/>
              </w:rPr>
              <w:t>（3）</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认为需要提供的其他资料。</w:t>
            </w:r>
          </w:p>
        </w:tc>
      </w:tr>
    </w:tbl>
    <w:p>
      <w:pPr>
        <w:spacing w:line="360" w:lineRule="auto"/>
        <w:rPr>
          <w:rFonts w:ascii="宋体" w:hAnsi="宋体" w:cs="宋体" w:hint="eastAsia"/>
          <w:b/>
          <w:bCs/>
          <w:color w:val="auto"/>
          <w:sz w:val="24"/>
          <w:highlight w:val="none"/>
        </w:rPr>
      </w:pPr>
    </w:p>
    <w:p>
      <w:pPr>
        <w:spacing w:line="360" w:lineRule="auto"/>
        <w:rPr>
          <w:rFonts w:ascii="宋体" w:hAnsi="宋体" w:cs="宋体" w:hint="eastAsia"/>
          <w:b/>
          <w:bCs/>
          <w:color w:val="auto"/>
          <w:sz w:val="24"/>
          <w:highlight w:val="none"/>
        </w:rPr>
      </w:pPr>
    </w:p>
    <w:p>
      <w:pPr>
        <w:spacing w:line="360" w:lineRule="auto"/>
        <w:rPr>
          <w:rFonts w:ascii="宋体" w:hAnsi="宋体" w:cs="宋体"/>
          <w:b/>
          <w:bCs/>
          <w:color w:val="auto"/>
          <w:sz w:val="24"/>
          <w:highlight w:val="none"/>
        </w:rPr>
      </w:pPr>
      <w:r>
        <w:rPr>
          <w:rFonts w:ascii="宋体" w:hAnsi="宋体" w:cs="宋体" w:hint="eastAsia"/>
          <w:b/>
          <w:bCs/>
          <w:color w:val="auto"/>
          <w:sz w:val="24"/>
          <w:highlight w:val="none"/>
        </w:rPr>
        <w:t>二、商务方案分册</w:t>
      </w:r>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320"/>
        <w:gridCol w:w="2503"/>
        <w:gridCol w:w="1704"/>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商务方案</w:t>
            </w:r>
          </w:p>
        </w:tc>
        <w:tc>
          <w:tcPr>
            <w:tcW w:w="1320"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商务报价</w:t>
            </w: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月保底经营费用单价</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eastAsia="zh-CN"/>
              </w:rPr>
              <w:t>机场方</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ign w:val="center"/>
          </w:tcPr>
          <w:p>
            <w:pPr>
              <w:spacing w:line="360" w:lineRule="auto"/>
              <w:rPr>
                <w:rFonts w:ascii="宋体" w:hAnsi="宋体" w:cs="宋体"/>
                <w:color w:val="auto"/>
                <w:szCs w:val="21"/>
                <w:highlight w:val="none"/>
              </w:rPr>
            </w:pPr>
          </w:p>
        </w:tc>
        <w:tc>
          <w:tcPr>
            <w:tcW w:w="1320" w:type="dxa"/>
            <w:vMerge/>
            <w:vAlign w:val="center"/>
          </w:tcPr>
          <w:p>
            <w:pPr>
              <w:spacing w:line="360" w:lineRule="auto"/>
              <w:rPr>
                <w:rFonts w:ascii="宋体" w:hAnsi="宋体" w:cs="宋体"/>
                <w:color w:val="auto"/>
                <w:szCs w:val="21"/>
                <w:highlight w:val="none"/>
              </w:rPr>
            </w:pP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销售额提成比例</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eastAsia="zh-CN"/>
              </w:rPr>
              <w:t>机场方</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bl>
    <w:p>
      <w:pPr>
        <w:spacing w:line="360" w:lineRule="auto"/>
        <w:rPr>
          <w:rFonts w:ascii="宋体" w:hAnsi="宋体" w:cs="宋体"/>
          <w:color w:val="auto"/>
          <w:sz w:val="24"/>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注：</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须严格按照以上</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文件目录表进行编写，如未按要求编写所造成对</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结果的影响，由</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自行承担。</w:t>
      </w:r>
    </w:p>
    <w:p>
      <w:pPr>
        <w:pStyle w:val="a"/>
        <w:rPr>
          <w:rFonts w:ascii="宋体" w:hAnsi="宋体" w:cs="宋体"/>
          <w:color w:val="auto"/>
          <w:highlight w:val="none"/>
        </w:rPr>
      </w:pPr>
    </w:p>
    <w:p>
      <w:pPr>
        <w:pStyle w:val="a"/>
        <w:rPr>
          <w:rFonts w:ascii="宋体" w:hAnsi="宋体" w:cs="宋体"/>
          <w:color w:val="auto"/>
          <w:highlight w:val="none"/>
        </w:rPr>
      </w:pPr>
    </w:p>
    <w:p>
      <w:pPr>
        <w:widowControl/>
        <w:ind w:firstLine="422"/>
        <w:jc w:val="left"/>
        <w:rPr>
          <w:rFonts w:ascii="宋体" w:hAnsi="宋体" w:cs="宋体"/>
          <w:b/>
          <w:bCs/>
          <w:color w:val="auto"/>
          <w:szCs w:val="21"/>
          <w:highlight w:val="none"/>
        </w:rPr>
      </w:pPr>
    </w:p>
    <w:p>
      <w:pPr>
        <w:widowControl/>
        <w:jc w:val="left"/>
        <w:rPr>
          <w:rFonts w:ascii="宋体" w:hAnsi="宋体" w:cs="宋体"/>
          <w:b/>
          <w:bCs/>
          <w:color w:val="auto"/>
          <w:szCs w:val="21"/>
          <w:highlight w:val="none"/>
        </w:rPr>
      </w:pPr>
      <w:r>
        <w:rPr>
          <w:rFonts w:ascii="宋体" w:hAnsi="宋体" w:cs="宋体" w:hint="eastAsia"/>
          <w:b/>
          <w:bCs/>
          <w:color w:val="auto"/>
          <w:szCs w:val="21"/>
          <w:highlight w:val="none"/>
        </w:rPr>
        <w:br w:type="page"/>
      </w:r>
    </w:p>
    <w:p>
      <w:pPr>
        <w:widowControl/>
        <w:ind w:firstLine="422"/>
        <w:jc w:val="left"/>
        <w:rPr>
          <w:rFonts w:ascii="宋体" w:hAnsi="宋体" w:cs="宋体"/>
          <w:color w:val="auto"/>
          <w:szCs w:val="21"/>
          <w:highlight w:val="none"/>
        </w:rPr>
      </w:pPr>
      <w:r>
        <w:rPr>
          <w:rFonts w:ascii="宋体" w:hAnsi="宋体" w:cs="宋体" w:hint="eastAsia"/>
          <w:b/>
          <w:bCs/>
          <w:color w:val="auto"/>
          <w:szCs w:val="21"/>
          <w:highlight w:val="none"/>
        </w:rPr>
        <w:t>（一）技术方案分册</w:t>
      </w:r>
    </w:p>
    <w:p>
      <w:pPr>
        <w:numPr>
          <w:ilvl w:val="0"/>
          <w:numId w:val="2"/>
        </w:numPr>
        <w:spacing w:line="360" w:lineRule="auto"/>
        <w:ind w:firstLine="422"/>
        <w:jc w:val="left"/>
        <w:outlineLvl w:val="1"/>
        <w:rPr>
          <w:rFonts w:ascii="宋体" w:hAnsi="宋体" w:cs="宋体"/>
          <w:b/>
          <w:bCs/>
          <w:color w:val="auto"/>
          <w:szCs w:val="21"/>
          <w:highlight w:val="none"/>
        </w:rPr>
      </w:pPr>
      <w:bookmarkStart w:id="2" w:name="_Toc31719"/>
      <w:r>
        <w:rPr>
          <w:rFonts w:ascii="宋体" w:hAnsi="宋体" w:cs="宋体" w:hint="eastAsia"/>
          <w:b/>
          <w:bCs/>
          <w:color w:val="auto"/>
          <w:szCs w:val="21"/>
          <w:highlight w:val="none"/>
        </w:rPr>
        <w:t>基本情况</w:t>
      </w:r>
      <w:bookmarkEnd w:id="2"/>
    </w:p>
    <w:p>
      <w:pPr>
        <w:spacing w:line="360" w:lineRule="auto"/>
        <w:ind w:firstLine="420"/>
        <w:jc w:val="left"/>
        <w:rPr>
          <w:rFonts w:ascii="宋体" w:hAnsi="宋体" w:cs="宋体"/>
          <w:color w:val="auto"/>
          <w:szCs w:val="21"/>
          <w:highlight w:val="none"/>
        </w:rPr>
      </w:pPr>
      <w:r>
        <w:rPr>
          <w:rFonts w:ascii="宋体" w:hAnsi="宋体" w:cs="宋体" w:hint="eastAsia"/>
          <w:color w:val="auto"/>
          <w:szCs w:val="21"/>
          <w:highlight w:val="none"/>
        </w:rPr>
        <w:t>1.1合作申请书格式</w:t>
      </w: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合作申请书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致：成都双流国际机场股份有限公司</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一、为对《</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》表示响应，我们以下签字人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名称】，遵照</w:t>
      </w:r>
      <w:r>
        <w:rPr>
          <w:rFonts w:ascii="宋体" w:hAnsi="宋体" w:cs="宋体" w:hint="eastAsia"/>
          <w:color w:val="auto"/>
          <w:szCs w:val="21"/>
          <w:highlight w:val="none"/>
          <w:lang w:eastAsia="zh-CN"/>
        </w:rPr>
        <w:t>招商文件</w:t>
      </w:r>
      <w:r>
        <w:rPr>
          <w:rFonts w:ascii="宋体" w:hAnsi="宋体" w:cs="宋体" w:hint="eastAsia"/>
          <w:color w:val="auto"/>
          <w:szCs w:val="21"/>
          <w:highlight w:val="none"/>
        </w:rPr>
        <w:t>的条款和条件，递交完全符合</w:t>
      </w:r>
      <w:r>
        <w:rPr>
          <w:rFonts w:ascii="宋体" w:hAnsi="宋体" w:cs="宋体" w:hint="eastAsia"/>
          <w:color w:val="auto"/>
          <w:szCs w:val="21"/>
          <w:highlight w:val="none"/>
          <w:lang w:eastAsia="zh-CN"/>
        </w:rPr>
        <w:t>招商文件</w:t>
      </w:r>
      <w:r>
        <w:rPr>
          <w:rFonts w:ascii="宋体" w:hAnsi="宋体" w:cs="宋体" w:hint="eastAsia"/>
          <w:color w:val="auto"/>
          <w:szCs w:val="21"/>
          <w:highlight w:val="none"/>
        </w:rPr>
        <w:t>的关于成都双流国际机场T2航站楼</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二、我们确认，我们已仔细阅读并研究了发布的</w:t>
      </w:r>
      <w:r>
        <w:rPr>
          <w:rFonts w:ascii="宋体" w:hAnsi="宋体" w:cs="宋体" w:hint="eastAsia"/>
          <w:color w:val="auto"/>
          <w:szCs w:val="21"/>
          <w:highlight w:val="none"/>
          <w:lang w:eastAsia="zh-CN"/>
        </w:rPr>
        <w:t>招商文件</w:t>
      </w:r>
      <w:r>
        <w:rPr>
          <w:rFonts w:ascii="宋体" w:hAnsi="宋体" w:cs="宋体" w:hint="eastAsia"/>
          <w:color w:val="auto"/>
          <w:szCs w:val="21"/>
          <w:highlight w:val="none"/>
        </w:rPr>
        <w:t>，以及发出的补充通知书（若有），我们知道必须放弃对上述文件和资料的所有条款提出含糊不清的问题的权利。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三、我们确认，我们将自行承担因参加本项目的</w:t>
      </w:r>
      <w:r>
        <w:rPr>
          <w:rFonts w:ascii="宋体" w:hAnsi="宋体" w:cs="宋体" w:hint="eastAsia"/>
          <w:color w:val="auto"/>
          <w:szCs w:val="21"/>
          <w:highlight w:val="none"/>
          <w:lang w:eastAsia="zh-CN"/>
        </w:rPr>
        <w:t>招商活动</w:t>
      </w:r>
      <w:r>
        <w:rPr>
          <w:rFonts w:ascii="宋体" w:hAnsi="宋体" w:cs="宋体" w:hint="eastAsia"/>
          <w:color w:val="auto"/>
          <w:szCs w:val="21"/>
          <w:highlight w:val="none"/>
        </w:rPr>
        <w:t>而发生的任何费用。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四、我们确认，本</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文件的有效期为自提交</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文件截止日起的九十（90）天。根据《</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须知》，该限期可以延长，在任何延长期内，我们的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文件对我们仍有约束力。</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五、我们确认，我们完全同意</w:t>
      </w:r>
      <w:r>
        <w:rPr>
          <w:rFonts w:ascii="宋体" w:hAnsi="宋体" w:cs="宋体" w:hint="eastAsia"/>
          <w:color w:val="auto"/>
          <w:szCs w:val="21"/>
          <w:highlight w:val="none"/>
          <w:lang w:eastAsia="zh-CN"/>
        </w:rPr>
        <w:t>招商文件</w:t>
      </w:r>
      <w:r>
        <w:rPr>
          <w:rFonts w:ascii="宋体" w:hAnsi="宋体" w:cs="宋体" w:hint="eastAsia"/>
          <w:color w:val="auto"/>
          <w:szCs w:val="21"/>
          <w:highlight w:val="none"/>
        </w:rPr>
        <w:t>制定的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规则，并承诺按照这些规则履行我们的所有义务，包括：一旦</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文件被贵方接受，将按照</w:t>
      </w:r>
      <w:r>
        <w:rPr>
          <w:rFonts w:ascii="宋体" w:hAnsi="宋体" w:cs="宋体" w:hint="eastAsia"/>
          <w:color w:val="auto"/>
          <w:szCs w:val="21"/>
          <w:highlight w:val="none"/>
          <w:lang w:eastAsia="zh-CN"/>
        </w:rPr>
        <w:t>招商文件</w:t>
      </w:r>
      <w:r>
        <w:rPr>
          <w:rFonts w:ascii="宋体" w:hAnsi="宋体" w:cs="宋体" w:hint="eastAsia"/>
          <w:color w:val="auto"/>
          <w:szCs w:val="21"/>
          <w:highlight w:val="none"/>
        </w:rPr>
        <w:t>要求和我们在</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文件中的承诺履行我们的义务。</w:t>
      </w:r>
    </w:p>
    <w:p>
      <w:pPr>
        <w:spacing w:line="360" w:lineRule="auto"/>
        <w:ind w:firstLine="420"/>
        <w:rPr>
          <w:rFonts w:ascii="宋体" w:hAnsi="宋体" w:cs="宋体" w:hint="eastAsia"/>
          <w:color w:val="auto"/>
          <w:szCs w:val="21"/>
          <w:highlight w:val="none"/>
          <w:lang w:eastAsia="zh-CN"/>
        </w:rPr>
      </w:pPr>
      <w:r>
        <w:rPr>
          <w:rFonts w:ascii="宋体" w:hAnsi="宋体" w:cs="宋体" w:hint="eastAsia"/>
          <w:color w:val="auto"/>
          <w:szCs w:val="21"/>
          <w:highlight w:val="none"/>
        </w:rPr>
        <w:t>六、我们确认，贵方有权利根据</w:t>
      </w:r>
      <w:r>
        <w:rPr>
          <w:rFonts w:ascii="宋体" w:hAnsi="宋体" w:cs="宋体" w:hint="eastAsia"/>
          <w:color w:val="auto"/>
          <w:szCs w:val="21"/>
          <w:highlight w:val="none"/>
          <w:lang w:eastAsia="zh-CN"/>
        </w:rPr>
        <w:t>招商文件</w:t>
      </w:r>
      <w:r>
        <w:rPr>
          <w:rFonts w:ascii="宋体" w:hAnsi="宋体" w:cs="宋体" w:hint="eastAsia"/>
          <w:color w:val="auto"/>
          <w:szCs w:val="21"/>
          <w:highlight w:val="none"/>
        </w:rPr>
        <w:t>的有关规定，没收我方的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保证金</w:t>
      </w:r>
      <w:r>
        <w:rPr>
          <w:rFonts w:ascii="宋体" w:hAnsi="宋体" w:cs="宋体" w:hint="eastAsia"/>
          <w:color w:val="auto"/>
          <w:szCs w:val="21"/>
          <w:highlight w:val="none"/>
          <w:lang w:eastAsia="zh-CN"/>
        </w:rPr>
        <w:t>。</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七、根据《</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须知》，我们在此与本合作申请书一并提交的作为</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文件的一部分的文件和资料有：</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a）合作申请书及技术方案分册；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b）商务方案分册；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八、在签署成都双流国际机场《候机楼经营合同》及合同附件以前，本</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文件对我们有约束。我们同意贵方不一定接受我们的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文件或接受任何一份</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文件的约束，并不需对此作任何解释。</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九、我们接受成都双流国际机场《候机楼经营合同》及合同附件中的条款和条件，并将严格履行。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十、我们在此保证，本</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文件的所有内容均属独立完成，未经与其他有希望的</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以限制本项目竞争力为目的进行协商、合作或达成谅解后完成。</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十一、我们证实，本合作申请书是我方</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文件的组成部分，我方保证对本</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文件中的陈述、品牌授权书、财务报表等资料的完整性、准确性、真实性完全负责。与本</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有关的正式通讯地址：</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办公地址：</w:t>
      </w:r>
    </w:p>
    <w:p>
      <w:pPr>
        <w:spacing w:line="360" w:lineRule="auto"/>
        <w:rPr>
          <w:rFonts w:ascii="宋体" w:hAnsi="宋体" w:cs="宋体"/>
          <w:color w:val="auto"/>
          <w:szCs w:val="21"/>
          <w:highlight w:val="none"/>
        </w:rPr>
      </w:pPr>
      <w:r>
        <w:rPr>
          <w:rFonts w:ascii="宋体" w:hAnsi="宋体" w:cs="宋体" w:hint="eastAsia"/>
          <w:color w:val="auto"/>
          <w:szCs w:val="21"/>
          <w:highlight w:val="none"/>
        </w:rPr>
        <w:t>邮政编码：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电话号码：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联系电话：</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电子邮件地址：</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微信联系方式：</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账户名称：</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账    号：</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开户行：</w:t>
      </w:r>
    </w:p>
    <w:p>
      <w:pPr>
        <w:spacing w:line="360" w:lineRule="auto"/>
        <w:rPr>
          <w:rFonts w:ascii="宋体" w:hAnsi="宋体" w:cs="宋体"/>
          <w:color w:val="auto"/>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法定代表人签字：</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或</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授权代表签字：</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公章：</w:t>
      </w: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t>1.2 企业营业执照副本复印件</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1.3法人和授权委托人身份证明复印件</w:t>
      </w:r>
    </w:p>
    <w:p>
      <w:pPr>
        <w:spacing w:line="360" w:lineRule="auto"/>
        <w:ind w:firstLine="420"/>
        <w:rPr>
          <w:rFonts w:ascii="宋体" w:hAnsi="宋体" w:cs="宋体"/>
          <w:color w:val="auto"/>
          <w:szCs w:val="21"/>
          <w:highlight w:val="none"/>
        </w:rPr>
      </w:pPr>
      <w:r>
        <w:rPr>
          <w:rFonts w:ascii="宋体" w:hAnsi="宋体" w:cs="宋体" w:hint="eastAsia"/>
          <w:bCs/>
          <w:color w:val="auto"/>
          <w:szCs w:val="21"/>
          <w:highlight w:val="none"/>
        </w:rPr>
        <w:t>授权代表的授权委托书格式：</w:t>
      </w:r>
      <w:r>
        <w:rPr>
          <w:rFonts w:ascii="宋体" w:hAnsi="宋体" w:cs="宋体" w:hint="eastAsia"/>
          <w:color w:val="auto"/>
          <w:szCs w:val="21"/>
          <w:highlight w:val="none"/>
        </w:rPr>
        <w:t>如果</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文件由授权代表签署，请提供授权委托书。</w:t>
      </w:r>
    </w:p>
    <w:p>
      <w:pPr>
        <w:spacing w:line="360" w:lineRule="auto"/>
        <w:ind w:left="720"/>
        <w:rPr>
          <w:rFonts w:ascii="宋体" w:hAnsi="宋体" w:cs="宋体"/>
          <w:color w:val="auto"/>
          <w:szCs w:val="21"/>
          <w:highlight w:val="none"/>
        </w:rPr>
      </w:pPr>
    </w:p>
    <w:p>
      <w:pPr>
        <w:spacing w:line="360" w:lineRule="auto"/>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420"/>
        <w:rPr>
          <w:rFonts w:ascii="宋体" w:hAnsi="宋体" w:cs="宋体"/>
          <w:b/>
          <w:color w:val="auto"/>
          <w:szCs w:val="21"/>
          <w:highlight w:val="none"/>
        </w:rPr>
      </w:pPr>
      <w:r>
        <w:rPr>
          <w:rFonts w:ascii="宋体" w:hAnsi="宋体" w:cs="宋体" w:hint="eastAsia"/>
          <w:color w:val="auto"/>
          <w:szCs w:val="21"/>
          <w:highlight w:val="none"/>
        </w:rPr>
        <w:t>本人系</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(法定代表人名字，身份证号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)系</w:t>
      </w:r>
      <w:r>
        <w:rPr>
          <w:rFonts w:ascii="宋体" w:hAnsi="宋体" w:cs="宋体" w:hint="eastAsia"/>
          <w:color w:val="auto"/>
          <w:szCs w:val="21"/>
          <w:highlight w:val="none"/>
          <w:lang w:eastAsia="zh-CN"/>
        </w:rPr>
        <w:t>商家</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（公司名称）的法定代表人，现授权</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(授权代表名字，身份证号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)为我公司授权代表，参与成都双流国际机场T2航站楼的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工作，以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的名义签署</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文件、递交</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文件、与</w:t>
      </w:r>
      <w:r>
        <w:rPr>
          <w:rFonts w:ascii="宋体" w:hAnsi="宋体" w:cs="宋体" w:hint="eastAsia"/>
          <w:color w:val="auto"/>
          <w:szCs w:val="21"/>
          <w:highlight w:val="none"/>
          <w:lang w:eastAsia="zh-CN"/>
        </w:rPr>
        <w:t>机场方</w:t>
      </w:r>
      <w:r>
        <w:rPr>
          <w:rFonts w:ascii="宋体" w:hAnsi="宋体" w:cs="宋体" w:hint="eastAsia"/>
          <w:color w:val="auto"/>
          <w:szCs w:val="21"/>
          <w:highlight w:val="none"/>
        </w:rPr>
        <w:t>联系，并处理与</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有关的一切事务。授权期限自</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日起至</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日止。</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特签字如下，以资证明。 </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5670"/>
        <w:rPr>
          <w:rFonts w:ascii="宋体" w:hAnsi="宋体" w:cs="宋体"/>
          <w:b/>
          <w:color w:val="auto"/>
          <w:szCs w:val="21"/>
          <w:highlight w:val="none"/>
        </w:rPr>
      </w:pPr>
      <w:r>
        <w:rPr>
          <w:rFonts w:ascii="宋体" w:hAnsi="宋体" w:cs="宋体" w:hint="eastAsia"/>
          <w:color w:val="auto"/>
          <w:szCs w:val="21"/>
          <w:highlight w:val="none"/>
        </w:rPr>
        <w:t xml:space="preserve">法定代表人签字或盖章：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授权代表签字：</w:t>
      </w:r>
    </w:p>
    <w:p>
      <w:pPr>
        <w:spacing w:line="360" w:lineRule="auto"/>
        <w:jc w:val="center"/>
        <w:rPr>
          <w:rFonts w:ascii="宋体" w:hAnsi="宋体" w:cs="宋体"/>
          <w:b/>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 xml:space="preserve">公章：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rPr>
          <w:rFonts w:ascii="宋体" w:hAnsi="宋体" w:cs="宋体"/>
          <w:color w:val="auto"/>
          <w:kern w:val="0"/>
          <w:szCs w:val="21"/>
          <w:highlight w:val="none"/>
        </w:rPr>
      </w:pPr>
      <w:r>
        <w:rPr>
          <w:rFonts w:ascii="宋体" w:hAnsi="宋体" w:cs="宋体" w:hint="eastAsia"/>
          <w:color w:val="auto"/>
          <w:szCs w:val="21"/>
          <w:highlight w:val="none"/>
        </w:rPr>
        <w:t>1.4 符合</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条件承诺书</w:t>
      </w:r>
    </w:p>
    <w:p>
      <w:pPr>
        <w:spacing w:line="600" w:lineRule="auto"/>
        <w:jc w:val="center"/>
        <w:rPr>
          <w:rFonts w:ascii="宋体" w:hAnsi="宋体" w:cs="宋体"/>
          <w:b/>
          <w:color w:val="auto"/>
          <w:kern w:val="0"/>
          <w:szCs w:val="21"/>
          <w:highlight w:val="none"/>
        </w:rPr>
      </w:pPr>
      <w:r>
        <w:rPr>
          <w:rFonts w:ascii="宋体" w:hAnsi="宋体" w:cs="宋体" w:hint="eastAsia"/>
          <w:b/>
          <w:color w:val="auto"/>
          <w:kern w:val="0"/>
          <w:szCs w:val="21"/>
          <w:highlight w:val="none"/>
        </w:rPr>
        <w:t>符合</w:t>
      </w:r>
      <w:r>
        <w:rPr>
          <w:rFonts w:ascii="宋体" w:hAnsi="宋体" w:cs="宋体" w:hint="eastAsia"/>
          <w:b/>
          <w:color w:val="auto"/>
          <w:kern w:val="0"/>
          <w:szCs w:val="21"/>
          <w:highlight w:val="none"/>
          <w:lang w:eastAsia="zh-CN"/>
        </w:rPr>
        <w:t>招商</w:t>
      </w:r>
      <w:r>
        <w:rPr>
          <w:rFonts w:ascii="宋体" w:hAnsi="宋体" w:cs="宋体" w:hint="eastAsia"/>
          <w:b/>
          <w:color w:val="auto"/>
          <w:kern w:val="0"/>
          <w:szCs w:val="21"/>
          <w:highlight w:val="none"/>
        </w:rPr>
        <w:t>条件承诺书</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我公司本着诚实守信的原则，保证如下：</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A.我公司银行资信证明中无不良记录；</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B.我公司未发生过重大群体性事件等影响社会稳定的敏感性事件；</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C.我公司在运营中未发生过安全事故（火灾、群体性食物中毒事故等）；</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D.我公司未发生过售卖的商品、食品质量问题等严重负面影响事件；</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E.我公司在全国机场未发生过空防安全责任事故；</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F.我公司在机场未因逃单行为、拖欠经营费用等违约行为而被终止过合同；</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G. 对于本次投报标段，我公司前期未因自身原因(排除F项)被终止过该标段合同。</w:t>
      </w:r>
    </w:p>
    <w:p>
      <w:pPr>
        <w:spacing w:line="360" w:lineRule="auto"/>
        <w:ind w:firstLine="315"/>
        <w:rPr>
          <w:rFonts w:ascii="宋体" w:hAnsi="宋体" w:cs="宋体" w:hint="eastAsia"/>
          <w:color w:val="auto"/>
          <w:szCs w:val="21"/>
          <w:highlight w:val="none"/>
        </w:rPr>
      </w:pPr>
      <w:r>
        <w:rPr>
          <w:rFonts w:ascii="宋体" w:hAnsi="宋体" w:cs="宋体" w:hint="eastAsia"/>
          <w:color w:val="auto"/>
          <w:szCs w:val="21"/>
          <w:highlight w:val="none"/>
        </w:rPr>
        <w:t>H.</w:t>
      </w:r>
      <w:r>
        <w:rPr>
          <w:rFonts w:ascii="宋体" w:hAnsi="宋体" w:cs="宋体" w:hint="eastAsia"/>
          <w:color w:val="auto"/>
          <w:szCs w:val="21"/>
          <w:highlight w:val="none"/>
          <w:lang w:eastAsia="zh-CN"/>
        </w:rPr>
        <w:t>我公司未在</w:t>
      </w:r>
      <w:r>
        <w:rPr>
          <w:rFonts w:ascii="宋体" w:hAnsi="宋体" w:cs="宋体" w:hint="eastAsia"/>
          <w:color w:val="auto"/>
          <w:szCs w:val="21"/>
          <w:highlight w:val="none"/>
        </w:rPr>
        <w:t>成都机场以往公开招商中经综合评审中选后，收到交纳签约保证金通知又放弃签约。</w:t>
      </w:r>
    </w:p>
    <w:p>
      <w:pPr>
        <w:spacing w:line="360" w:lineRule="auto"/>
        <w:ind w:firstLine="315"/>
        <w:rPr>
          <w:rFonts w:ascii="宋体" w:hAnsi="宋体" w:cs="宋体"/>
          <w:color w:val="auto"/>
          <w:szCs w:val="21"/>
          <w:highlight w:val="none"/>
        </w:rPr>
      </w:pP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p>
      <w:pPr>
        <w:ind w:firstLine="422"/>
        <w:rPr>
          <w:rFonts w:ascii="宋体" w:hAnsi="宋体" w:cs="宋体"/>
          <w:b/>
          <w:bCs/>
          <w:color w:val="auto"/>
          <w:szCs w:val="21"/>
          <w:highlight w:val="none"/>
        </w:rPr>
      </w:pPr>
    </w:p>
    <w:p>
      <w:pPr>
        <w:spacing w:line="360" w:lineRule="auto"/>
        <w:ind w:firstLine="316"/>
        <w:rPr>
          <w:rFonts w:ascii="宋体" w:hAnsi="宋体" w:cs="宋体"/>
          <w:color w:val="auto"/>
          <w:szCs w:val="21"/>
          <w:highlight w:val="none"/>
        </w:rPr>
      </w:pPr>
      <w:r>
        <w:rPr>
          <w:rFonts w:ascii="宋体" w:hAnsi="宋体" w:cs="宋体" w:hint="eastAsia"/>
          <w:b/>
          <w:bCs/>
          <w:color w:val="auto"/>
          <w:szCs w:val="21"/>
          <w:highlight w:val="none"/>
        </w:rPr>
        <w:t xml:space="preserve">                </w:t>
      </w: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rPr>
          <w:rFonts w:ascii="宋体" w:hAnsi="宋体" w:cs="宋体"/>
          <w:color w:val="auto"/>
          <w:szCs w:val="21"/>
          <w:highlight w:val="none"/>
        </w:rPr>
      </w:pPr>
      <w:r>
        <w:rPr>
          <w:rFonts w:ascii="宋体" w:hAnsi="宋体" w:cs="宋体" w:hint="eastAsia"/>
          <w:color w:val="auto"/>
          <w:szCs w:val="21"/>
          <w:highlight w:val="none"/>
        </w:rPr>
        <w:t>1.6保密承诺书</w:t>
      </w: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保密承诺书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我公司有意参加成都双流国际机场T2航站楼（以下简称“本项目”）的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，现委托授权代表</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（姓名）向贵司了解相关</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我公司在此郑重承诺：无论是否参与</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我司均对获取的本项目相关信息和资料负有保密义务（贵司已在媒体公开的信息和资料除外），不向新闻媒体或任何机构、个人泄露本项目的任何信息或资料，并承担由于违反保密义务而产生的法律责任，包括但不限于赔偿</w:t>
      </w:r>
      <w:r>
        <w:rPr>
          <w:rFonts w:ascii="宋体" w:hAnsi="宋体" w:cs="宋体" w:hint="eastAsia"/>
          <w:color w:val="auto"/>
          <w:szCs w:val="21"/>
          <w:highlight w:val="none"/>
          <w:lang w:eastAsia="zh-CN"/>
        </w:rPr>
        <w:t>机场方</w:t>
      </w:r>
      <w:r>
        <w:rPr>
          <w:rFonts w:ascii="宋体" w:hAnsi="宋体" w:cs="宋体" w:hint="eastAsia"/>
          <w:color w:val="auto"/>
          <w:szCs w:val="21"/>
          <w:highlight w:val="none"/>
        </w:rPr>
        <w:t xml:space="preserve">由此造成的直接和间接损失。保密期限为自签署保密承诺之日起五年。 </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特此声明。 </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w:t>
      </w:r>
    </w:p>
    <w:p>
      <w:pPr>
        <w:spacing w:line="360" w:lineRule="auto"/>
        <w:jc w:val="right"/>
        <w:rPr>
          <w:rFonts w:ascii="宋体" w:hAnsi="宋体" w:cs="宋体"/>
          <w:color w:val="auto"/>
          <w:szCs w:val="21"/>
          <w:highlight w:val="none"/>
        </w:rPr>
      </w:pPr>
    </w:p>
    <w:p>
      <w:pPr>
        <w:spacing w:line="360" w:lineRule="auto"/>
        <w:jc w:val="right"/>
        <w:rPr>
          <w:rFonts w:ascii="宋体" w:hAnsi="宋体" w:cs="宋体"/>
          <w:color w:val="auto"/>
          <w:szCs w:val="21"/>
          <w:highlight w:val="none"/>
        </w:rPr>
      </w:pPr>
    </w:p>
    <w:p>
      <w:pPr>
        <w:spacing w:line="360" w:lineRule="auto"/>
        <w:jc w:val="right"/>
        <w:rPr>
          <w:rFonts w:ascii="宋体" w:hAnsi="宋体" w:cs="宋体"/>
          <w:color w:val="auto"/>
          <w:szCs w:val="21"/>
          <w:highlight w:val="none"/>
        </w:rPr>
      </w:pPr>
    </w:p>
    <w:p>
      <w:pPr>
        <w:spacing w:line="360" w:lineRule="auto"/>
        <w:ind w:firstLine="315"/>
        <w:jc w:val="right"/>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bidi/>
        <w:spacing w:line="360" w:lineRule="auto"/>
        <w:ind w:firstLine="2100"/>
        <w:jc w:val="left"/>
        <w:rPr>
          <w:rFonts w:ascii="宋体" w:hAnsi="宋体" w:cs="宋体"/>
          <w:color w:val="auto"/>
          <w:szCs w:val="21"/>
          <w:highlight w:val="none"/>
        </w:rPr>
      </w:pPr>
    </w:p>
    <w:p>
      <w:pPr>
        <w:spacing w:line="360" w:lineRule="auto"/>
        <w:ind w:firstLine="422"/>
        <w:rPr>
          <w:rFonts w:ascii="宋体" w:hAnsi="宋体" w:cs="宋体"/>
          <w:b/>
          <w:bCs/>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rFonts w:ascii="宋体" w:hAnsi="宋体" w:cs="宋体"/>
          <w:color w:val="auto"/>
          <w:sz w:val="21"/>
          <w:szCs w:val="21"/>
          <w:highlight w:val="none"/>
        </w:rPr>
      </w:pPr>
    </w:p>
    <w:p>
      <w:pPr>
        <w:spacing w:line="360" w:lineRule="auto"/>
        <w:outlineLvl w:val="1"/>
        <w:rPr>
          <w:rFonts w:ascii="宋体" w:hAnsi="宋体" w:cs="宋体"/>
          <w:b/>
          <w:bCs/>
          <w:color w:val="auto"/>
          <w:szCs w:val="21"/>
          <w:highlight w:val="none"/>
        </w:rPr>
      </w:pPr>
      <w:bookmarkStart w:id="3" w:name="_Toc16707"/>
      <w:r>
        <w:rPr>
          <w:rFonts w:ascii="宋体" w:hAnsi="宋体" w:cs="宋体" w:hint="eastAsia"/>
          <w:b/>
          <w:bCs/>
          <w:color w:val="auto"/>
          <w:szCs w:val="21"/>
          <w:highlight w:val="none"/>
        </w:rPr>
        <w:t>2.综合实力</w:t>
      </w:r>
      <w:bookmarkEnd w:id="3"/>
    </w:p>
    <w:p>
      <w:pPr>
        <w:spacing w:line="360" w:lineRule="auto"/>
        <w:ind w:firstLine="420"/>
        <w:rPr>
          <w:rFonts w:ascii="宋体" w:hAnsi="宋体" w:eastAsiaTheme="minorEastAsia" w:cs="宋体"/>
          <w:color w:val="auto"/>
          <w:szCs w:val="21"/>
          <w:highlight w:val="none"/>
        </w:rPr>
      </w:pPr>
      <w:r>
        <w:rPr>
          <w:rFonts w:ascii="宋体" w:hAnsi="宋体" w:cs="宋体" w:hint="eastAsia"/>
          <w:color w:val="auto"/>
          <w:szCs w:val="21"/>
          <w:highlight w:val="none"/>
        </w:rPr>
        <w:t>2.1</w:t>
      </w:r>
      <w:r>
        <w:rPr>
          <w:rFonts w:asciiTheme="minorEastAsia" w:eastAsiaTheme="minorEastAsia" w:hAnsiTheme="minorEastAsia" w:cs="宋体" w:hint="eastAsia"/>
          <w:color w:val="auto"/>
          <w:szCs w:val="21"/>
          <w:highlight w:val="none"/>
        </w:rPr>
        <w:t>提供经审计的2019-2022年中任意连续三年的财务报表原件或复印件；</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a、资产负债表；</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b、利润表；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2.2 </w:t>
      </w:r>
      <w:r>
        <w:rPr>
          <w:rFonts w:ascii="宋体" w:hAnsi="宋体" w:cs="宋体" w:hint="eastAsia"/>
          <w:color w:val="auto"/>
          <w:szCs w:val="21"/>
          <w:highlight w:val="none"/>
          <w:lang w:eastAsia="zh-CN"/>
        </w:rPr>
        <w:t>2022或2023</w:t>
      </w:r>
      <w:r>
        <w:rPr>
          <w:rFonts w:ascii="宋体" w:hAnsi="宋体" w:cs="宋体" w:hint="eastAsia"/>
          <w:color w:val="auto"/>
          <w:szCs w:val="21"/>
          <w:highlight w:val="none"/>
        </w:rPr>
        <w:t>年度纳税信用等级证明。</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rPr>
          <w:rFonts w:ascii="宋体" w:hAnsi="宋体" w:cs="宋体"/>
          <w:b/>
          <w:bCs/>
          <w:color w:val="auto"/>
          <w:szCs w:val="21"/>
          <w:highlight w:val="none"/>
        </w:rPr>
      </w:pPr>
      <w:bookmarkStart w:id="4" w:name="_Toc12575"/>
      <w:bookmarkStart w:id="5" w:name="_Toc41558660"/>
      <w:r>
        <w:rPr>
          <w:rFonts w:ascii="宋体" w:hAnsi="宋体" w:cs="宋体" w:hint="eastAsia"/>
          <w:b/>
          <w:bCs/>
          <w:color w:val="auto"/>
          <w:szCs w:val="21"/>
          <w:highlight w:val="none"/>
        </w:rPr>
        <w:br w:type="page"/>
      </w:r>
      <w:bookmarkEnd w:id="4"/>
      <w:bookmarkEnd w:id="5"/>
    </w:p>
    <w:p>
      <w:pPr>
        <w:spacing w:line="360" w:lineRule="auto"/>
        <w:outlineLvl w:val="1"/>
        <w:rPr>
          <w:rFonts w:ascii="宋体" w:hAnsi="宋体" w:cs="宋体"/>
          <w:b/>
          <w:bCs/>
          <w:color w:val="auto"/>
          <w:szCs w:val="21"/>
          <w:highlight w:val="none"/>
        </w:rPr>
      </w:pPr>
      <w:bookmarkStart w:id="6" w:name="_Toc27893"/>
      <w:r>
        <w:rPr>
          <w:rFonts w:ascii="宋体" w:hAnsi="宋体" w:cs="宋体" w:hint="eastAsia"/>
          <w:b/>
          <w:bCs/>
          <w:color w:val="auto"/>
          <w:szCs w:val="21"/>
          <w:highlight w:val="none"/>
        </w:rPr>
        <w:t>3.经营能力</w:t>
      </w:r>
      <w:bookmarkEnd w:id="6"/>
    </w:p>
    <w:p>
      <w:pPr>
        <w:widowControl/>
        <w:spacing w:line="360" w:lineRule="auto"/>
        <w:ind w:firstLine="420"/>
        <w:jc w:val="left"/>
        <w:rPr>
          <w:rFonts w:ascii="宋体" w:hAnsi="宋体" w:cs="宋体"/>
          <w:color w:val="auto"/>
          <w:kern w:val="0"/>
          <w:szCs w:val="21"/>
          <w:highlight w:val="none"/>
        </w:rPr>
      </w:pPr>
      <w:r>
        <w:rPr>
          <w:rFonts w:ascii="宋体" w:hAnsi="宋体" w:cs="宋体" w:hint="eastAsia"/>
          <w:color w:val="auto"/>
          <w:kern w:val="0"/>
          <w:szCs w:val="21"/>
          <w:highlight w:val="none"/>
        </w:rPr>
        <w:t>3.1</w:t>
      </w:r>
      <w:r>
        <w:rPr>
          <w:rFonts w:ascii="宋体" w:hAnsi="宋体" w:cs="宋体" w:hint="eastAsia"/>
          <w:color w:val="auto"/>
          <w:kern w:val="0"/>
          <w:szCs w:val="21"/>
          <w:highlight w:val="none"/>
          <w:lang w:eastAsia="zh-CN"/>
        </w:rPr>
        <w:t>商家</w:t>
      </w:r>
      <w:r>
        <w:rPr>
          <w:rFonts w:ascii="宋体" w:hAnsi="宋体" w:cs="宋体" w:hint="eastAsia"/>
          <w:color w:val="auto"/>
          <w:kern w:val="0"/>
          <w:szCs w:val="21"/>
          <w:highlight w:val="none"/>
        </w:rPr>
        <w:t>提供其本身及分子公司在中国年旅客吞吐量</w:t>
      </w: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年期间任意一年1500万人次机场、成都天府国际机场及港澳台机场的布局情况。</w:t>
      </w:r>
    </w:p>
    <w:p>
      <w:pPr>
        <w:widowControl/>
        <w:spacing w:line="360" w:lineRule="auto"/>
        <w:ind w:firstLine="420"/>
        <w:jc w:val="left"/>
        <w:rPr>
          <w:rFonts w:asciiTheme="minorEastAsia" w:eastAsiaTheme="minorEastAsia" w:hAnsiTheme="minorEastAsia" w:cs="宋体"/>
          <w:color w:val="auto"/>
          <w:szCs w:val="21"/>
          <w:highlight w:val="yellow"/>
        </w:rPr>
      </w:pP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年期间任意一年1500万人次及以上机场有：北京首都、北京大兴、上海浦东、广州、成都双流、</w:t>
      </w:r>
      <w:r>
        <w:rPr>
          <w:rFonts w:ascii="宋体" w:hAnsi="宋体" w:cs="宋体" w:hint="eastAsia"/>
          <w:color w:val="auto"/>
          <w:kern w:val="0"/>
          <w:szCs w:val="21"/>
          <w:highlight w:val="none"/>
          <w:lang w:val="en-US" w:eastAsia="zh-CN"/>
        </w:rPr>
        <w:t>成都天府、</w:t>
      </w:r>
      <w:r>
        <w:rPr>
          <w:rFonts w:ascii="宋体" w:hAnsi="宋体" w:cs="宋体" w:hint="eastAsia"/>
          <w:color w:val="auto"/>
          <w:kern w:val="0"/>
          <w:szCs w:val="21"/>
          <w:highlight w:val="none"/>
        </w:rPr>
        <w:t>深圳、昆明、西安、上海虹桥、重庆、杭州、南京、郑州、厦门、武汉、长沙、青岛、海口、乌鲁木齐、天津、贵阳、三亚</w:t>
      </w:r>
      <w:r>
        <w:rPr>
          <w:rFonts w:ascii="宋体" w:hAnsi="宋体" w:cs="宋体" w:hint="eastAsia"/>
          <w:color w:val="auto"/>
          <w:kern w:val="0"/>
          <w:szCs w:val="21"/>
          <w:highlight w:val="none"/>
          <w:lang w:eastAsia="zh-CN"/>
        </w:rPr>
        <w:t>、</w:t>
      </w:r>
      <w:r>
        <w:rPr>
          <w:rFonts w:ascii="宋体" w:hAnsi="宋体" w:cs="宋体" w:hint="eastAsia"/>
          <w:color w:val="auto"/>
          <w:kern w:val="0"/>
          <w:szCs w:val="21"/>
          <w:highlight w:val="yellow"/>
          <w:lang w:val="en-US" w:eastAsia="zh-CN"/>
        </w:rPr>
        <w:t>长春、大连、沈阳、济南、哈尔滨</w:t>
      </w:r>
      <w:r>
        <w:rPr>
          <w:rFonts w:ascii="宋体" w:hAnsi="宋体" w:cs="宋体" w:hint="eastAsia"/>
          <w:color w:val="auto"/>
          <w:kern w:val="0"/>
          <w:szCs w:val="21"/>
          <w:highlight w:val="yellow"/>
        </w:rPr>
        <w:t>。</w:t>
      </w:r>
    </w:p>
    <w:p>
      <w:pPr>
        <w:spacing w:line="360" w:lineRule="auto"/>
        <w:ind w:left="435"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3.1.1布局列表</w:t>
      </w:r>
    </w:p>
    <w:tbl>
      <w:tblPr>
        <w:tblStyle w:val="TableNormal"/>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14"/>
        </w:trPr>
        <w:tc>
          <w:tcPr>
            <w:tcW w:w="945"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机场名称</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经营品牌或项目</w:t>
            </w:r>
          </w:p>
        </w:tc>
        <w:tc>
          <w:tcPr>
            <w:tcW w:w="3123" w:type="dxa"/>
            <w:vAlign w:val="center"/>
          </w:tcPr>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面积(平方米)</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成都双流机场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0"/>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首都机场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widowControl/>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浦东机场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广州白云机场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若没有机场从业经验，可不提供此方面材料。</w:t>
      </w:r>
    </w:p>
    <w:p>
      <w:pPr>
        <w:pStyle w:val="a"/>
        <w:spacing w:line="360" w:lineRule="auto"/>
        <w:rPr>
          <w:rFonts w:ascii="宋体" w:hAnsi="宋体" w:cs="宋体"/>
          <w:color w:val="auto"/>
          <w:sz w:val="21"/>
          <w:szCs w:val="21"/>
          <w:highlight w:val="none"/>
        </w:rPr>
      </w:pPr>
    </w:p>
    <w:p>
      <w:pPr>
        <w:ind w:firstLine="84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3.1.2布局证明文件，包括但不限于合同复印件或业主方证明。</w:t>
      </w:r>
      <w:r>
        <w:rPr>
          <w:rFonts w:ascii="宋体" w:hAnsi="宋体" w:cs="宋体" w:hint="eastAsia"/>
          <w:color w:val="auto"/>
          <w:szCs w:val="21"/>
          <w:highlight w:val="none"/>
        </w:rPr>
        <w:br w:type="page"/>
      </w:r>
    </w:p>
    <w:p>
      <w:pPr>
        <w:spacing w:line="360" w:lineRule="auto"/>
        <w:rPr>
          <w:color w:val="auto"/>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及其分子公司在国内省会城市及直辖市市区、深圳市区、港澳台的开店经验</w:t>
      </w:r>
    </w:p>
    <w:p>
      <w:pPr>
        <w:spacing w:line="360" w:lineRule="auto"/>
        <w:ind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3.2.1布局列表</w:t>
      </w:r>
      <w:r>
        <w:rPr>
          <w:rFonts w:ascii="宋体" w:hAnsi="宋体" w:cs="宋体" w:hint="eastAsia"/>
          <w:color w:val="auto"/>
          <w:szCs w:val="21"/>
          <w:highlight w:val="none"/>
        </w:rPr>
        <w:t xml:space="preserve">：  </w:t>
      </w:r>
    </w:p>
    <w:tbl>
      <w:tblPr>
        <w:tblStyle w:val="TableNormal"/>
        <w:tblpPr w:leftFromText="180" w:rightFromText="180" w:vertAnchor="text" w:horzAnchor="page" w:tblpX="2431" w:tblpY="306"/>
        <w:tblOverlap w:val="never"/>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ind w:left="435"/>
              <w:jc w:val="center"/>
              <w:rPr>
                <w:rFonts w:ascii="宋体" w:hAnsi="宋体" w:cs="宋体"/>
                <w:color w:val="auto"/>
                <w:szCs w:val="21"/>
                <w:highlight w:val="none"/>
              </w:rPr>
            </w:pPr>
          </w:p>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经营店面</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位置</w:t>
            </w:r>
          </w:p>
        </w:tc>
        <w:tc>
          <w:tcPr>
            <w:tcW w:w="2025"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商圈街道或商业体名称</w:t>
            </w:r>
          </w:p>
        </w:tc>
        <w:tc>
          <w:tcPr>
            <w:tcW w:w="3123" w:type="dxa"/>
            <w:vAlign w:val="center"/>
          </w:tcPr>
          <w:p>
            <w:pPr>
              <w:widowControl/>
              <w:spacing w:line="360" w:lineRule="auto"/>
              <w:jc w:val="center"/>
              <w:rPr>
                <w:rFonts w:ascii="宋体" w:hAnsi="宋体" w:cs="宋体"/>
                <w:color w:val="auto"/>
                <w:szCs w:val="21"/>
                <w:highlight w:val="none"/>
              </w:rPr>
            </w:pP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w:t>
            </w: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(平方米)</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成都宽窄巷子</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成都锦里</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420"/>
        <w:rPr>
          <w:color w:val="auto"/>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若没有市区从业经验，可不提供此方面材料。</w:t>
      </w:r>
    </w:p>
    <w:p>
      <w:pPr>
        <w:pStyle w:val="a"/>
        <w:rPr>
          <w:color w:val="auto"/>
          <w:highlight w:val="none"/>
        </w:rPr>
      </w:pPr>
    </w:p>
    <w:p>
      <w:pPr>
        <w:ind w:firstLine="420"/>
        <w:rPr>
          <w:rFonts w:asciiTheme="minorEastAsia" w:eastAsiaTheme="minorEastAsia" w:hAnsiTheme="minorEastAsia" w:cs="宋体"/>
          <w:color w:val="auto"/>
          <w:szCs w:val="21"/>
          <w:highlight w:val="none"/>
        </w:rPr>
      </w:pPr>
      <w:r>
        <w:rPr>
          <w:rFonts w:asciiTheme="minorEastAsia" w:eastAsiaTheme="minorEastAsia" w:hAnsiTheme="minorEastAsia" w:cs="宋体" w:hint="eastAsia"/>
          <w:color w:val="auto"/>
          <w:szCs w:val="21"/>
          <w:highlight w:val="none"/>
        </w:rPr>
        <w:t>3.2.2布局证明文件，包括但不限于合同复印件或业主方证明。</w:t>
      </w: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3.3</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经营模式</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直营或者授权（加盟）经营的承诺书。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经营模式承诺书格式：</w:t>
      </w:r>
    </w:p>
    <w:p>
      <w:pPr>
        <w:pStyle w:val="a"/>
        <w:spacing w:line="360" w:lineRule="auto"/>
        <w:rPr>
          <w:rFonts w:ascii="宋体" w:hAnsi="宋体" w:cs="宋体"/>
          <w:color w:val="auto"/>
          <w:sz w:val="21"/>
          <w:szCs w:val="21"/>
          <w:highlight w:val="none"/>
        </w:rPr>
      </w:pP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经营模式承诺书</w:t>
      </w: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我公司租赁航站楼商业场地（标段号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 面积</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平方米）用于商业经营，现向贵司郑重承诺：品牌直营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加盟或代理经营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。因品牌、服务质量等问题引发的法律责任由我公司完全承担。</w:t>
      </w:r>
    </w:p>
    <w:p>
      <w:pPr>
        <w:spacing w:line="360" w:lineRule="auto"/>
        <w:ind w:firstLine="420"/>
        <w:rPr>
          <w:rFonts w:ascii="宋体" w:hAnsi="宋体" w:cs="宋体"/>
          <w:color w:val="auto"/>
          <w:szCs w:val="21"/>
          <w:highlight w:val="none"/>
        </w:rPr>
      </w:pP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 w:val="21"/>
          <w:szCs w:val="21"/>
          <w:highlight w:val="none"/>
        </w:rPr>
        <w:t>需盖鲜章</w:t>
      </w:r>
      <w:r>
        <w:rPr>
          <w:rFonts w:ascii="宋体" w:hAnsi="宋体" w:cs="宋体" w:hint="eastAsia"/>
          <w:color w:val="auto"/>
          <w:szCs w:val="21"/>
          <w:highlight w:val="none"/>
        </w:rPr>
        <w:t>）</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pStyle w:val="a"/>
        <w:spacing w:line="360" w:lineRule="auto"/>
        <w:ind w:left="420"/>
        <w:rPr>
          <w:rFonts w:ascii="宋体" w:hAnsi="宋体" w:cs="宋体"/>
          <w:color w:val="auto"/>
          <w:sz w:val="21"/>
          <w:szCs w:val="21"/>
          <w:highlight w:val="none"/>
        </w:rPr>
      </w:pPr>
    </w:p>
    <w:p>
      <w:pPr>
        <w:spacing w:line="360" w:lineRule="auto"/>
        <w:ind w:firstLine="420"/>
        <w:rPr>
          <w:rFonts w:ascii="宋体" w:hAnsi="宋体" w:cs="宋体"/>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spacing w:line="360" w:lineRule="auto"/>
        <w:ind w:firstLine="1050"/>
        <w:rPr>
          <w:rFonts w:ascii="宋体" w:hAnsi="宋体" w:cs="宋体"/>
          <w:color w:val="auto"/>
          <w:sz w:val="21"/>
          <w:szCs w:val="21"/>
          <w:highlight w:val="none"/>
        </w:rPr>
      </w:pPr>
    </w:p>
    <w:p>
      <w:pPr>
        <w:widowControl/>
        <w:jc w:val="left"/>
        <w:rPr>
          <w:rFonts w:ascii="宋体" w:hAnsi="宋体" w:cs="宋体"/>
          <w:color w:val="auto"/>
          <w:kern w:val="0"/>
          <w:szCs w:val="21"/>
          <w:highlight w:val="none"/>
        </w:rPr>
      </w:pPr>
      <w:r>
        <w:rPr>
          <w:rFonts w:ascii="宋体" w:hAnsi="宋体" w:cs="宋体"/>
          <w:color w:val="auto"/>
          <w:szCs w:val="21"/>
          <w:highlight w:val="none"/>
        </w:rPr>
        <w:br w:type="page"/>
      </w:r>
    </w:p>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年在国内机场业主方的获奖情况：提供获奖证书（公司级）等证明材料。</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若没有获奖情况，可不提供。</w:t>
      </w:r>
    </w:p>
    <w:p>
      <w:pPr>
        <w:rPr>
          <w:color w:val="auto"/>
          <w:highlight w:val="none"/>
        </w:rPr>
      </w:pPr>
      <w:r>
        <w:rPr>
          <w:color w:val="auto"/>
          <w:highlight w:val="none"/>
        </w:rPr>
        <w:br w:type="page"/>
      </w:r>
    </w:p>
    <w:p>
      <w:pPr>
        <w:spacing w:line="360" w:lineRule="auto"/>
        <w:outlineLvl w:val="1"/>
        <w:rPr>
          <w:rFonts w:ascii="宋体" w:hAnsi="宋体" w:cs="宋体"/>
          <w:b/>
          <w:bCs/>
          <w:color w:val="auto"/>
          <w:szCs w:val="21"/>
          <w:highlight w:val="none"/>
        </w:rPr>
      </w:pPr>
      <w:bookmarkStart w:id="7" w:name="_Toc7740"/>
      <w:bookmarkStart w:id="8" w:name="_Toc41558662"/>
      <w:bookmarkStart w:id="9" w:name="_Hlk41556141"/>
      <w:bookmarkStart w:id="10" w:name="_Toc9087"/>
      <w:r>
        <w:rPr>
          <w:rFonts w:ascii="宋体" w:hAnsi="宋体" w:cs="宋体"/>
          <w:b/>
          <w:bCs/>
          <w:color w:val="auto"/>
          <w:szCs w:val="21"/>
          <w:highlight w:val="none"/>
        </w:rPr>
        <w:t>4</w:t>
      </w:r>
      <w:r>
        <w:rPr>
          <w:rFonts w:ascii="宋体" w:hAnsi="宋体" w:cs="宋体" w:hint="eastAsia"/>
          <w:b/>
          <w:bCs/>
          <w:color w:val="auto"/>
          <w:szCs w:val="21"/>
          <w:highlight w:val="none"/>
        </w:rPr>
        <w:t>.经营方案</w:t>
      </w:r>
      <w:bookmarkEnd w:id="7"/>
    </w:p>
    <w:p>
      <w:pPr>
        <w:spacing w:line="360" w:lineRule="auto"/>
        <w:rPr>
          <w:rFonts w:ascii="宋体" w:hAnsi="宋体" w:cs="宋体"/>
          <w:color w:val="auto"/>
          <w:szCs w:val="21"/>
          <w:highlight w:val="none"/>
        </w:rPr>
      </w:pPr>
      <w:bookmarkStart w:id="11" w:name="_Toc4063"/>
      <w:bookmarkStart w:id="12" w:name="_Toc27037"/>
      <w:r>
        <w:rPr>
          <w:rFonts w:ascii="宋体" w:hAnsi="宋体" w:cs="宋体" w:hint="eastAsia"/>
          <w:color w:val="auto"/>
          <w:szCs w:val="21"/>
          <w:highlight w:val="none"/>
        </w:rPr>
        <w:t>4</w:t>
      </w:r>
      <w:r>
        <w:rPr>
          <w:rFonts w:ascii="宋体" w:hAnsi="宋体" w:cs="宋体"/>
          <w:color w:val="auto"/>
          <w:szCs w:val="21"/>
          <w:highlight w:val="none"/>
        </w:rPr>
        <w:t>.1</w:t>
      </w:r>
      <w:r>
        <w:rPr>
          <w:rFonts w:ascii="宋体" w:hAnsi="宋体" w:cs="宋体" w:hint="eastAsia"/>
          <w:color w:val="auto"/>
          <w:szCs w:val="21"/>
          <w:highlight w:val="none"/>
        </w:rPr>
        <w:t>装修方案、效果图</w:t>
      </w:r>
      <w:bookmarkEnd w:id="11"/>
      <w:bookmarkEnd w:id="12"/>
      <w:r>
        <w:rPr>
          <w:rFonts w:ascii="宋体" w:hAnsi="宋体" w:cs="宋体" w:hint="eastAsia"/>
          <w:color w:val="auto"/>
          <w:szCs w:val="21"/>
          <w:highlight w:val="none"/>
        </w:rPr>
        <w:t>：</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品牌统一的装修风格效果图；或者针对</w:t>
      </w:r>
      <w:r>
        <w:rPr>
          <w:rFonts w:ascii="宋体" w:hAnsi="宋体" w:cs="宋体" w:hint="eastAsia"/>
          <w:color w:val="auto"/>
          <w:sz w:val="21"/>
          <w:szCs w:val="21"/>
          <w:highlight w:val="none"/>
          <w:lang w:eastAsia="zh-CN"/>
        </w:rPr>
        <w:t>招商</w:t>
      </w:r>
      <w:r>
        <w:rPr>
          <w:rFonts w:ascii="宋体" w:hAnsi="宋体" w:cs="宋体" w:hint="eastAsia"/>
          <w:color w:val="auto"/>
          <w:sz w:val="21"/>
          <w:szCs w:val="21"/>
          <w:highlight w:val="none"/>
        </w:rPr>
        <w:t>标段的装修方案及效果图。</w:t>
      </w: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r>
        <w:rPr>
          <w:rFonts w:ascii="宋体" w:hAnsi="宋体" w:cs="宋体"/>
          <w:color w:val="auto"/>
          <w:sz w:val="21"/>
          <w:szCs w:val="21"/>
          <w:highlight w:val="none"/>
        </w:rPr>
        <w:t>4.2</w:t>
      </w:r>
      <w:r>
        <w:rPr>
          <w:rFonts w:ascii="宋体" w:hAnsi="宋体" w:cs="宋体" w:hint="eastAsia"/>
          <w:color w:val="auto"/>
          <w:sz w:val="21"/>
          <w:szCs w:val="21"/>
          <w:highlight w:val="none"/>
        </w:rPr>
        <w:t>本项目特色服务</w:t>
      </w:r>
    </w:p>
    <w:p>
      <w:pPr>
        <w:spacing w:line="360" w:lineRule="auto"/>
        <w:jc w:val="left"/>
        <w:rPr>
          <w:rFonts w:ascii="宋体" w:hAnsi="宋体" w:cs="宋体"/>
          <w:color w:val="auto"/>
          <w:szCs w:val="21"/>
          <w:highlight w:val="none"/>
        </w:rPr>
      </w:pPr>
      <w:r>
        <w:rPr>
          <w:rFonts w:ascii="宋体" w:hAnsi="宋体" w:cs="宋体" w:hint="eastAsia"/>
          <w:color w:val="auto"/>
          <w:szCs w:val="21"/>
          <w:highlight w:val="none"/>
        </w:rPr>
        <w:t>向旅客提供特色服务承诺书，并加盖单位公章。</w:t>
      </w: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.1日常管理制度；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.2应急制度（含投诉处理制度）；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.3库存管理制度。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须提供包含但不限于以上的管理制度。</w:t>
      </w:r>
    </w:p>
    <w:p>
      <w:pPr>
        <w:rPr>
          <w:rFonts w:ascii="宋体" w:hAnsi="宋体" w:cs="宋体"/>
          <w:color w:val="auto"/>
          <w:szCs w:val="21"/>
          <w:highlight w:val="none"/>
        </w:rPr>
      </w:pPr>
      <w:r>
        <w:rPr>
          <w:rFonts w:ascii="宋体" w:hAnsi="宋体" w:cs="宋体" w:hint="eastAsia"/>
          <w:color w:val="auto"/>
          <w:szCs w:val="21"/>
          <w:highlight w:val="none"/>
        </w:rPr>
        <w:br w:type="page"/>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本项目运营方案</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运营方案包括但不限于临时店过渡方案、产品构成、人均消费、销售预测等信息。</w:t>
      </w:r>
    </w:p>
    <w:p>
      <w:pPr>
        <w:spacing w:line="360" w:lineRule="auto"/>
        <w:rPr>
          <w:rFonts w:ascii="宋体" w:hAnsi="宋体" w:cs="宋体"/>
          <w:color w:val="auto"/>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br w:type="page"/>
      </w:r>
    </w:p>
    <w:p>
      <w:pPr>
        <w:spacing w:line="360" w:lineRule="auto"/>
        <w:outlineLvl w:val="1"/>
        <w:rPr>
          <w:rFonts w:ascii="宋体" w:hAnsi="宋体" w:cs="宋体"/>
          <w:b/>
          <w:bCs/>
          <w:color w:val="auto"/>
          <w:szCs w:val="21"/>
          <w:highlight w:val="none"/>
        </w:rPr>
      </w:pPr>
      <w:bookmarkStart w:id="13" w:name="_Toc6984"/>
      <w:bookmarkStart w:id="14" w:name="_Toc13887"/>
      <w:r>
        <w:rPr>
          <w:rFonts w:ascii="宋体" w:hAnsi="宋体" w:cs="宋体"/>
          <w:b/>
          <w:bCs/>
          <w:color w:val="auto"/>
          <w:szCs w:val="21"/>
          <w:highlight w:val="none"/>
        </w:rPr>
        <w:t>5.</w:t>
      </w:r>
      <w:r>
        <w:rPr>
          <w:rFonts w:ascii="宋体" w:hAnsi="宋体" w:cs="宋体" w:hint="eastAsia"/>
          <w:b/>
          <w:bCs/>
          <w:color w:val="auto"/>
          <w:szCs w:val="21"/>
          <w:highlight w:val="none"/>
        </w:rPr>
        <w:t>品牌</w:t>
      </w:r>
      <w:bookmarkEnd w:id="13"/>
      <w:r>
        <w:rPr>
          <w:rFonts w:ascii="宋体" w:hAnsi="宋体" w:cs="宋体" w:hint="eastAsia"/>
          <w:b/>
          <w:bCs/>
          <w:color w:val="auto"/>
          <w:szCs w:val="21"/>
          <w:highlight w:val="none"/>
        </w:rPr>
        <w:t>情况</w:t>
      </w:r>
      <w:bookmarkEnd w:id="14"/>
    </w:p>
    <w:p>
      <w:pPr>
        <w:spacing w:line="360" w:lineRule="auto"/>
        <w:rPr>
          <w:rFonts w:ascii="宋体" w:hAnsi="宋体" w:cs="宋体"/>
          <w:color w:val="auto"/>
          <w:szCs w:val="21"/>
          <w:highlight w:val="none"/>
        </w:rPr>
      </w:pPr>
      <w:r>
        <w:rPr>
          <w:rFonts w:ascii="宋体" w:hAnsi="宋体" w:cs="宋体"/>
          <w:color w:val="auto"/>
          <w:szCs w:val="21"/>
          <w:highlight w:val="none"/>
        </w:rPr>
        <w:t>5.1</w:t>
      </w:r>
      <w:r>
        <w:rPr>
          <w:rFonts w:ascii="宋体" w:hAnsi="宋体" w:cs="宋体" w:hint="eastAsia"/>
          <w:color w:val="auto"/>
          <w:szCs w:val="21"/>
          <w:highlight w:val="none"/>
        </w:rPr>
        <w:t>品牌介绍：包括但不限于品牌档次、品牌产品特色、针对的客户群、商品价格区间、竞争品牌、在国内机场、省会城市及直辖市知名商圈、商业体开设品牌店的情况等，国家商务部颁发的《中华老字号》、省级及以上《非物质文化遗产名录》证明（如有）。</w:t>
      </w:r>
    </w:p>
    <w:p>
      <w:pPr>
        <w:pStyle w:val="ListParagraph"/>
        <w:numPr>
          <w:ilvl w:val="0"/>
          <w:numId w:val="3"/>
        </w:numPr>
        <w:rPr>
          <w:rFonts w:ascii="宋体" w:hAnsi="宋体" w:cs="宋体"/>
          <w:color w:val="auto"/>
          <w:szCs w:val="21"/>
          <w:highlight w:val="none"/>
        </w:rPr>
      </w:pPr>
      <w:r>
        <w:rPr>
          <w:rFonts w:ascii="宋体" w:hAnsi="宋体" w:cs="宋体" w:hint="eastAsia"/>
          <w:color w:val="auto"/>
          <w:szCs w:val="21"/>
          <w:highlight w:val="none"/>
        </w:rPr>
        <w:br w:type="page"/>
      </w:r>
    </w:p>
    <w:p>
      <w:pPr>
        <w:spacing w:line="360" w:lineRule="auto"/>
        <w:rPr>
          <w:rFonts w:ascii="宋体" w:hAnsi="宋体" w:cs="宋体"/>
          <w:color w:val="auto"/>
          <w:szCs w:val="21"/>
          <w:highlight w:val="none"/>
        </w:rPr>
      </w:pPr>
      <w:r>
        <w:rPr>
          <w:rFonts w:ascii="宋体" w:hAnsi="宋体" w:cs="宋体"/>
          <w:color w:val="auto"/>
          <w:szCs w:val="21"/>
          <w:highlight w:val="none"/>
        </w:rPr>
        <w:t>5.2</w:t>
      </w:r>
      <w:r>
        <w:rPr>
          <w:rFonts w:ascii="宋体" w:hAnsi="宋体" w:cs="宋体" w:hint="eastAsia"/>
          <w:color w:val="auto"/>
          <w:szCs w:val="21"/>
          <w:highlight w:val="none"/>
        </w:rPr>
        <w:t>品牌权益证明：品牌的商标注册证和品牌授权证明；持有品牌独家经营权或区域独家经营权的，应一并提供相应法律保护文件或授权文件（如非品牌方直接授权，须提供可追溯至品牌方的多级授权文件；上述材料为外国语的还须提供中文译本）。</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品牌授权书格式：如</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系加盟或代理经营某品牌，须提供该品牌的授权书，既可直接使用品牌公司的授权书格式，也可以参考以下格式。</w:t>
      </w:r>
    </w:p>
    <w:p>
      <w:pPr>
        <w:pStyle w:val="ListParagraph"/>
        <w:spacing w:line="360" w:lineRule="auto"/>
        <w:ind w:firstLine="0"/>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ind w:firstLine="420"/>
        <w:rPr>
          <w:rFonts w:ascii="宋体" w:hAnsi="宋体" w:cs="宋体"/>
          <w:color w:val="auto"/>
          <w:szCs w:val="21"/>
          <w:highlight w:val="none"/>
          <w:u w:val="single"/>
        </w:rPr>
      </w:pPr>
    </w:p>
    <w:p>
      <w:pPr>
        <w:spacing w:line="360" w:lineRule="auto"/>
        <w:ind w:firstLine="420"/>
        <w:rPr>
          <w:rFonts w:ascii="宋体" w:hAnsi="宋体" w:cs="宋体"/>
          <w:color w:val="auto"/>
          <w:szCs w:val="21"/>
          <w:highlight w:val="none"/>
        </w:rPr>
      </w:pPr>
      <w:r>
        <w:rPr>
          <w:rFonts w:ascii="宋体" w:hAnsi="宋体" w:cs="宋体"/>
          <w:color w:val="auto"/>
          <w:szCs w:val="21"/>
          <w:highlight w:val="none"/>
          <w:u w:val="single"/>
        </w:rPr>
        <w:t xml:space="preserve">     </w:t>
      </w:r>
      <w:r>
        <w:rPr>
          <w:rFonts w:ascii="宋体" w:hAnsi="宋体" w:cs="宋体" w:hint="eastAsia"/>
          <w:color w:val="auto"/>
          <w:szCs w:val="21"/>
          <w:highlight w:val="none"/>
        </w:rPr>
        <w:t>本公司</w:t>
      </w:r>
      <w:r>
        <w:rPr>
          <w:rFonts w:ascii="宋体" w:hAnsi="宋体" w:cs="宋体"/>
          <w:color w:val="auto"/>
          <w:szCs w:val="21"/>
          <w:highlight w:val="none"/>
          <w:u w:val="single"/>
        </w:rPr>
        <w:t xml:space="preserve">        </w:t>
      </w:r>
      <w:r>
        <w:rPr>
          <w:rFonts w:ascii="宋体" w:hAnsi="宋体" w:cs="宋体" w:hint="eastAsia"/>
          <w:color w:val="auto"/>
          <w:szCs w:val="21"/>
          <w:highlight w:val="none"/>
        </w:rPr>
        <w:t>将</w:t>
      </w:r>
      <w:r>
        <w:rPr>
          <w:rFonts w:ascii="宋体" w:hAnsi="宋体" w:cs="宋体"/>
          <w:color w:val="auto"/>
          <w:szCs w:val="21"/>
          <w:highlight w:val="none"/>
          <w:u w:val="single"/>
        </w:rPr>
        <w:t xml:space="preserve">       </w:t>
      </w:r>
      <w:r>
        <w:rPr>
          <w:rFonts w:ascii="宋体" w:hAnsi="宋体" w:cs="宋体" w:hint="eastAsia"/>
          <w:color w:val="auto"/>
          <w:szCs w:val="21"/>
          <w:highlight w:val="none"/>
        </w:rPr>
        <w:t>品牌授权给</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公司在成都双流国际机场航站楼经营，由该公司参与成都双流国际机场T2航站楼</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，并签订经营合同。授权期限自</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起至</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止。</w:t>
      </w:r>
    </w:p>
    <w:p>
      <w:pPr>
        <w:pStyle w:val="ListParagraph"/>
        <w:spacing w:line="360" w:lineRule="auto"/>
        <w:ind w:left="420" w:firstLine="0"/>
        <w:rPr>
          <w:rFonts w:ascii="宋体" w:hAnsi="宋体" w:cs="宋体"/>
          <w:color w:val="auto"/>
          <w:szCs w:val="21"/>
          <w:highlight w:val="none"/>
        </w:rPr>
      </w:pPr>
    </w:p>
    <w:p>
      <w:pPr>
        <w:pStyle w:val="ListParagraph"/>
        <w:spacing w:line="360" w:lineRule="auto"/>
        <w:ind w:left="420" w:firstLine="0"/>
        <w:rPr>
          <w:rFonts w:ascii="宋体" w:hAnsi="宋体" w:cs="宋体"/>
          <w:color w:val="auto"/>
          <w:szCs w:val="21"/>
          <w:highlight w:val="none"/>
        </w:rPr>
      </w:pPr>
    </w:p>
    <w:p>
      <w:pPr>
        <w:spacing w:line="360" w:lineRule="auto"/>
        <w:rPr>
          <w:rFonts w:ascii="宋体" w:hAnsi="宋体" w:cs="宋体"/>
          <w:color w:val="auto"/>
          <w:szCs w:val="21"/>
          <w:highlight w:val="none"/>
          <w:u w:val="single"/>
        </w:rPr>
      </w:pPr>
      <w:r>
        <w:rPr>
          <w:rFonts w:ascii="宋体" w:hAnsi="宋体" w:cs="宋体" w:hint="eastAsia"/>
          <w:color w:val="auto"/>
          <w:szCs w:val="21"/>
          <w:highlight w:val="none"/>
        </w:rPr>
        <w:t>委托人：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受托人：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color w:val="auto"/>
          <w:szCs w:val="21"/>
          <w:highlight w:val="none"/>
          <w:u w:val="single"/>
        </w:rPr>
        <w:t xml:space="preserve">   </w:t>
      </w:r>
      <w:r>
        <w:rPr>
          <w:rFonts w:ascii="宋体" w:hAnsi="宋体" w:cs="宋体" w:hint="eastAsia"/>
          <w:color w:val="auto"/>
          <w:szCs w:val="21"/>
          <w:highlight w:val="non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rPr>
        <w:t>日</w:t>
      </w:r>
    </w:p>
    <w:p>
      <w:pPr>
        <w:spacing w:line="360" w:lineRule="auto"/>
        <w:rPr>
          <w:rFonts w:ascii="宋体" w:hAnsi="宋体" w:cs="宋体"/>
          <w:color w:val="auto"/>
          <w:szCs w:val="21"/>
          <w:highlight w:val="none"/>
        </w:rPr>
      </w:pPr>
      <w:bookmarkStart w:id="15" w:name="_Toc15781"/>
      <w:bookmarkStart w:id="16" w:name="_Toc8152"/>
      <w:bookmarkStart w:id="17" w:name="_Toc9773"/>
      <w:bookmarkStart w:id="18" w:name="_Toc9567"/>
      <w:bookmarkStart w:id="19" w:name="_Toc25739"/>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bookmarkEnd w:id="15"/>
      <w:bookmarkEnd w:id="16"/>
      <w:bookmarkEnd w:id="17"/>
      <w:bookmarkEnd w:id="18"/>
      <w:bookmarkEnd w:id="19"/>
    </w:p>
    <w:p>
      <w:pPr>
        <w:spacing w:line="360" w:lineRule="auto"/>
        <w:rPr>
          <w:rFonts w:ascii="宋体" w:hAnsi="宋体" w:cs="宋体"/>
          <w:color w:val="auto"/>
          <w:szCs w:val="21"/>
          <w:highlight w:val="none"/>
        </w:rPr>
      </w:pPr>
    </w:p>
    <w:p>
      <w:pPr>
        <w:pStyle w:val="a"/>
        <w:rPr>
          <w:rFonts w:asciiTheme="minorEastAsia" w:eastAsiaTheme="minorEastAsia" w:hAnsiTheme="minorEastAsia" w:cs="宋体"/>
          <w:color w:val="auto"/>
          <w:szCs w:val="21"/>
          <w:highlight w:val="none"/>
        </w:rPr>
      </w:pPr>
      <w:r>
        <w:rPr>
          <w:rFonts w:ascii="宋体" w:hAnsi="宋体" w:cs="宋体" w:hint="eastAsia"/>
          <w:color w:val="auto"/>
          <w:sz w:val="21"/>
          <w:szCs w:val="21"/>
          <w:highlight w:val="none"/>
        </w:rPr>
        <w:t xml:space="preserve"> </w:t>
      </w:r>
      <w:r>
        <w:rPr>
          <w:rFonts w:asciiTheme="minorEastAsia" w:eastAsiaTheme="minorEastAsia" w:hAnsiTheme="minorEastAsia" w:cs="宋体" w:hint="eastAsia"/>
          <w:color w:val="auto"/>
          <w:szCs w:val="21"/>
          <w:highlight w:val="none"/>
        </w:rPr>
        <w:t>5.</w:t>
      </w:r>
      <w:r>
        <w:rPr>
          <w:rFonts w:asciiTheme="minorEastAsia" w:eastAsiaTheme="minorEastAsia" w:hAnsiTheme="minorEastAsia" w:cs="宋体"/>
          <w:color w:val="auto"/>
          <w:szCs w:val="21"/>
          <w:highlight w:val="none"/>
        </w:rPr>
        <w:t>3</w:t>
      </w:r>
      <w:r>
        <w:rPr>
          <w:rFonts w:ascii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自营店铺销售业绩</w:t>
      </w:r>
    </w:p>
    <w:p>
      <w:pPr>
        <w:pStyle w:val="a"/>
        <w:rPr>
          <w:rFonts w:ascii="宋体" w:hAnsi="宋体" w:cs="宋体"/>
          <w:color w:val="auto"/>
          <w:szCs w:val="21"/>
          <w:highlight w:val="none"/>
        </w:rPr>
      </w:pPr>
      <w:r>
        <w:rPr>
          <w:rFonts w:ascii="宋体" w:hAnsi="宋体" w:cs="宋体" w:hint="eastAsia"/>
          <w:color w:val="auto"/>
          <w:sz w:val="21"/>
          <w:szCs w:val="21"/>
          <w:highlight w:val="none"/>
        </w:rPr>
        <w:t xml:space="preserve"> 2022</w:t>
      </w:r>
      <w:r>
        <w:rPr>
          <w:rFonts w:ascii="宋体" w:hAnsi="宋体" w:cs="宋体" w:hint="eastAsia"/>
          <w:color w:val="auto"/>
          <w:szCs w:val="21"/>
          <w:highlight w:val="none"/>
        </w:rPr>
        <w:t>年单店销售额坪效</w:t>
      </w:r>
      <w:r>
        <w:rPr>
          <w:rFonts w:ascii="宋体" w:hAnsi="宋体" w:cs="宋体" w:hint="eastAsia"/>
          <w:color w:val="auto"/>
          <w:sz w:val="21"/>
          <w:szCs w:val="21"/>
          <w:highlight w:val="none"/>
        </w:rPr>
        <w:t>（单店年销售额/该单店面积所占平方米数）</w:t>
      </w:r>
      <w:r>
        <w:rPr>
          <w:rFonts w:ascii="宋体" w:hAnsi="宋体" w:cs="宋体" w:hint="eastAsia"/>
          <w:color w:val="auto"/>
          <w:szCs w:val="21"/>
          <w:highlight w:val="none"/>
        </w:rPr>
        <w:t>证明材料。由场地出租方或商业综合体等第三方盖章的证明材料。</w:t>
      </w:r>
    </w:p>
    <w:p>
      <w:pPr>
        <w:pStyle w:val="a"/>
        <w:rPr>
          <w:rFonts w:ascii="宋体" w:hAnsi="宋体" w:cs="宋体"/>
          <w:b/>
          <w:bCs/>
          <w:color w:val="auto"/>
          <w:sz w:val="21"/>
          <w:szCs w:val="21"/>
          <w:highlight w:val="none"/>
        </w:rPr>
      </w:pPr>
    </w:p>
    <w:p>
      <w:pPr>
        <w:pStyle w:val="ListParagraph"/>
        <w:numPr>
          <w:ilvl w:val="0"/>
          <w:numId w:val="3"/>
        </w:num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outlineLvl w:val="1"/>
        <w:rPr>
          <w:rFonts w:ascii="宋体" w:hAnsi="宋体" w:cs="宋体"/>
          <w:b/>
          <w:bCs/>
          <w:color w:val="auto"/>
          <w:sz w:val="21"/>
          <w:szCs w:val="21"/>
          <w:highlight w:val="none"/>
        </w:rPr>
      </w:pPr>
      <w:bookmarkStart w:id="20" w:name="_Toc20449"/>
      <w:r>
        <w:rPr>
          <w:rFonts w:ascii="宋体" w:hAnsi="宋体" w:cs="宋体" w:hint="eastAsia"/>
          <w:b/>
          <w:bCs/>
          <w:color w:val="auto"/>
          <w:sz w:val="21"/>
          <w:szCs w:val="21"/>
          <w:highlight w:val="none"/>
        </w:rPr>
        <w:t>6.</w:t>
      </w:r>
      <w:r>
        <w:rPr>
          <w:rFonts w:ascii="宋体" w:hAnsi="宋体" w:cs="宋体" w:hint="eastAsia"/>
          <w:b/>
          <w:bCs/>
          <w:color w:val="auto"/>
          <w:sz w:val="21"/>
          <w:szCs w:val="21"/>
          <w:highlight w:val="none"/>
          <w:lang w:eastAsia="zh-CN"/>
        </w:rPr>
        <w:t>商家</w:t>
      </w:r>
      <w:r>
        <w:rPr>
          <w:rFonts w:ascii="宋体" w:hAnsi="宋体" w:cs="宋体" w:hint="eastAsia"/>
          <w:b/>
          <w:bCs/>
          <w:color w:val="auto"/>
          <w:sz w:val="21"/>
          <w:szCs w:val="21"/>
          <w:highlight w:val="none"/>
        </w:rPr>
        <w:t>须提供的其他资料</w:t>
      </w:r>
      <w:bookmarkEnd w:id="20"/>
    </w:p>
    <w:p>
      <w:pPr>
        <w:pStyle w:val="a"/>
        <w:rPr>
          <w:rFonts w:ascii="宋体" w:hAnsi="宋体" w:cs="宋体"/>
          <w:color w:val="auto"/>
          <w:sz w:val="21"/>
          <w:szCs w:val="21"/>
          <w:highlight w:val="none"/>
        </w:rPr>
      </w:pPr>
      <w:r>
        <w:rPr>
          <w:rFonts w:ascii="宋体" w:hAnsi="宋体" w:cs="宋体" w:hint="eastAsia"/>
          <w:color w:val="auto"/>
          <w:sz w:val="21"/>
          <w:szCs w:val="21"/>
          <w:highlight w:val="none"/>
        </w:rPr>
        <w:t>（1）对标承诺书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w:t>
      </w: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承诺对标</w:t>
      </w:r>
      <w:r>
        <w:rPr>
          <w:rFonts w:ascii="宋体" w:hAnsi="宋体" w:cs="宋体" w:hint="eastAsia"/>
          <w:color w:val="auto"/>
          <w:sz w:val="21"/>
          <w:szCs w:val="21"/>
          <w:highlight w:val="none"/>
          <w:lang w:eastAsia="zh-CN"/>
        </w:rPr>
        <w:t>机场方</w:t>
      </w:r>
      <w:r>
        <w:rPr>
          <w:rFonts w:ascii="宋体" w:hAnsi="宋体" w:cs="宋体" w:hint="eastAsia"/>
          <w:color w:val="auto"/>
          <w:sz w:val="21"/>
          <w:szCs w:val="21"/>
          <w:highlight w:val="none"/>
        </w:rPr>
        <w:t>认可的商圈、商业体的对标店铺名称、产品清单及价格。</w:t>
      </w:r>
    </w:p>
    <w:p>
      <w:pPr>
        <w:pStyle w:val="a"/>
        <w:spacing w:line="360" w:lineRule="auto"/>
        <w:rPr>
          <w:rFonts w:ascii="宋体" w:hAnsi="宋体" w:cs="宋体"/>
          <w:color w:val="auto"/>
          <w:sz w:val="21"/>
          <w:szCs w:val="21"/>
          <w:highlight w:val="none"/>
        </w:rPr>
      </w:pPr>
    </w:p>
    <w:p>
      <w:pPr>
        <w:pStyle w:val="a"/>
        <w:spacing w:line="360" w:lineRule="auto"/>
        <w:jc w:val="center"/>
        <w:rPr>
          <w:rFonts w:ascii="宋体" w:hAnsi="宋体" w:cs="宋体"/>
          <w:b/>
          <w:bCs/>
          <w:color w:val="auto"/>
          <w:sz w:val="21"/>
          <w:szCs w:val="21"/>
          <w:highlight w:val="none"/>
        </w:rPr>
      </w:pPr>
      <w:r>
        <w:rPr>
          <w:rFonts w:ascii="宋体" w:hAnsi="宋体" w:cs="宋体" w:hint="eastAsia"/>
          <w:b/>
          <w:bCs/>
          <w:color w:val="auto"/>
          <w:sz w:val="21"/>
          <w:szCs w:val="21"/>
          <w:highlight w:val="none"/>
        </w:rPr>
        <w:t>对标承诺书</w:t>
      </w: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我公司郑重承诺：</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成都双流国际机场T</w:t>
      </w:r>
      <w:r>
        <w:rPr>
          <w:rFonts w:ascii="宋体" w:hAnsi="宋体" w:cs="宋体"/>
          <w:color w:val="auto"/>
          <w:sz w:val="21"/>
          <w:szCs w:val="21"/>
          <w:highlight w:val="none"/>
        </w:rPr>
        <w:t>2</w:t>
      </w:r>
      <w:r>
        <w:rPr>
          <w:rFonts w:ascii="宋体" w:hAnsi="宋体" w:cs="宋体" w:hint="eastAsia"/>
          <w:color w:val="auto"/>
          <w:sz w:val="21"/>
          <w:szCs w:val="21"/>
          <w:highlight w:val="none"/>
        </w:rPr>
        <w:t>航站楼招商</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标段投报的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品牌与成都市区</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（地址）的相同品牌店铺对标，在此销售的商品质量、规格、价格与对标店铺保持一致（详见附件商品清单）。</w:t>
      </w:r>
    </w:p>
    <w:p>
      <w:pPr>
        <w:pStyle w:val="a"/>
        <w:spacing w:line="360" w:lineRule="auto"/>
        <w:jc w:val="both"/>
        <w:rPr>
          <w:rFonts w:ascii="宋体" w:hAnsi="宋体" w:cs="宋体"/>
          <w:color w:val="auto"/>
          <w:sz w:val="21"/>
          <w:szCs w:val="21"/>
          <w:highlight w:val="none"/>
        </w:rPr>
      </w:pPr>
    </w:p>
    <w:p>
      <w:pPr>
        <w:pStyle w:val="a"/>
        <w:spacing w:line="360" w:lineRule="auto"/>
        <w:ind w:firstLine="420"/>
        <w:jc w:val="both"/>
        <w:rPr>
          <w:rFonts w:ascii="宋体" w:hAnsi="宋体" w:cs="宋体"/>
          <w:color w:val="auto"/>
          <w:sz w:val="21"/>
          <w:szCs w:val="21"/>
          <w:highlight w:val="none"/>
          <w:u w:val="single"/>
        </w:rPr>
      </w:pPr>
      <w:r>
        <w:rPr>
          <w:rFonts w:ascii="宋体" w:hAnsi="宋体" w:cs="宋体" w:hint="eastAsia"/>
          <w:color w:val="auto"/>
          <w:sz w:val="21"/>
          <w:szCs w:val="21"/>
          <w:highlight w:val="none"/>
        </w:rPr>
        <w:t>若我公司投报的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 xml:space="preserve">品牌在成都市区无相同品牌对标，则承诺对标 </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（省会城市、直辖市、深圳市区、港澳台）</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品牌店铺，在此销售的商品质量、规格、价格与对标店铺保持一致（详见附件商品清单）。</w:t>
      </w:r>
    </w:p>
    <w:p>
      <w:pPr>
        <w:pStyle w:val="a"/>
        <w:spacing w:line="360" w:lineRule="auto"/>
        <w:ind w:left="420"/>
        <w:rPr>
          <w:rFonts w:ascii="宋体" w:hAnsi="宋体" w:cs="宋体"/>
          <w:b/>
          <w:bCs/>
          <w:color w:val="auto"/>
          <w:sz w:val="21"/>
          <w:szCs w:val="21"/>
          <w:highlight w:val="none"/>
          <w:u w:val="single"/>
        </w:rPr>
      </w:pPr>
    </w:p>
    <w:p>
      <w:pPr>
        <w:pStyle w:val="a"/>
        <w:spacing w:line="360" w:lineRule="auto"/>
        <w:ind w:left="42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u w:val="single"/>
        </w:rPr>
      </w:pPr>
      <w:r>
        <w:rPr>
          <w:rFonts w:ascii="宋体" w:hAnsi="宋体" w:cs="宋体" w:hint="eastAsia"/>
          <w:color w:val="auto"/>
          <w:sz w:val="21"/>
          <w:szCs w:val="21"/>
          <w:highlight w:val="none"/>
        </w:rPr>
        <w:t xml:space="preserve">                                  承诺单位：</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（需盖鲜章）</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日期：</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年</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月</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日</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投报便利店品牌连锁店已在全球城市布局数量的承诺函，并加盖单位公章；</w:t>
      </w:r>
    </w:p>
    <w:p>
      <w:pPr>
        <w:spacing w:line="360" w:lineRule="auto"/>
        <w:rPr>
          <w:rFonts w:ascii="宋体" w:hAnsi="宋体" w:cs="宋体"/>
          <w:color w:val="auto"/>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p>
    <w:p>
      <w:pPr>
        <w:pStyle w:val="a"/>
        <w:spacing w:line="240" w:lineRule="auto"/>
        <w:rPr>
          <w:rFonts w:ascii="宋体" w:hAnsi="宋体" w:cs="宋体"/>
          <w:color w:val="auto"/>
          <w:sz w:val="21"/>
          <w:szCs w:val="21"/>
          <w:highlight w:val="none"/>
        </w:rPr>
      </w:pPr>
      <w:r>
        <w:rPr>
          <w:rFonts w:ascii="宋体" w:hAnsi="宋体" w:cs="宋体" w:hint="eastAsia"/>
          <w:color w:val="auto"/>
          <w:sz w:val="21"/>
          <w:szCs w:val="21"/>
          <w:highlight w:val="none"/>
        </w:rPr>
        <w:t>（3）</w:t>
      </w: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认为需要提供的其他资料。</w:t>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br w:type="page"/>
      </w:r>
    </w:p>
    <w:p>
      <w:pPr>
        <w:spacing w:line="360" w:lineRule="auto"/>
        <w:outlineLvl w:val="1"/>
        <w:rPr>
          <w:rFonts w:ascii="宋体" w:hAnsi="宋体" w:cs="宋体"/>
          <w:b/>
          <w:bCs/>
          <w:color w:val="auto"/>
          <w:sz w:val="28"/>
          <w:szCs w:val="28"/>
          <w:highlight w:val="none"/>
        </w:rPr>
      </w:pPr>
      <w:bookmarkStart w:id="21" w:name="_Toc28269"/>
      <w:r>
        <w:rPr>
          <w:rFonts w:ascii="宋体" w:hAnsi="宋体" w:cs="宋体" w:hint="eastAsia"/>
          <w:b/>
          <w:bCs/>
          <w:color w:val="auto"/>
          <w:szCs w:val="21"/>
          <w:highlight w:val="none"/>
        </w:rPr>
        <w:t>二、</w:t>
      </w:r>
      <w:bookmarkEnd w:id="8"/>
      <w:bookmarkEnd w:id="9"/>
      <w:bookmarkEnd w:id="10"/>
      <w:bookmarkEnd w:id="21"/>
      <w:bookmarkStart w:id="22" w:name="_Toc24349"/>
      <w:r>
        <w:rPr>
          <w:rFonts w:ascii="宋体" w:hAnsi="宋体" w:cs="宋体" w:hint="eastAsia"/>
          <w:b/>
          <w:bCs/>
          <w:color w:val="auto"/>
          <w:sz w:val="24"/>
          <w:highlight w:val="none"/>
        </w:rPr>
        <w:t>商务方案分册</w:t>
      </w:r>
      <w:bookmarkEnd w:id="22"/>
    </w:p>
    <w:p>
      <w:pPr>
        <w:spacing w:line="360" w:lineRule="auto"/>
        <w:jc w:val="center"/>
        <w:rPr>
          <w:color w:val="auto"/>
          <w:highlight w:val="none"/>
        </w:rPr>
      </w:pPr>
      <w:r>
        <w:rPr>
          <w:rFonts w:ascii="宋体" w:hAnsi="宋体" w:cs="宋体" w:hint="eastAsia"/>
          <w:b/>
          <w:bCs/>
          <w:color w:val="auto"/>
          <w:sz w:val="28"/>
          <w:szCs w:val="28"/>
          <w:highlight w:val="none"/>
        </w:rPr>
        <w:t>便利店商务报价表</w:t>
      </w:r>
    </w:p>
    <w:tbl>
      <w:tblPr>
        <w:tblStyle w:val="TableGrid"/>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4"/>
        <w:gridCol w:w="6227"/>
      </w:tblGrid>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标段</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lang w:eastAsia="zh-CN"/>
              </w:rPr>
              <w:t>商家</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经营期限</w:t>
            </w:r>
          </w:p>
        </w:tc>
        <w:tc>
          <w:tcPr>
            <w:tcW w:w="6227"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u w:val="single"/>
              </w:rPr>
              <w:t xml:space="preserve">      年</w:t>
            </w:r>
            <w:r>
              <w:rPr>
                <w:rFonts w:ascii="宋体" w:hAnsi="宋体" w:cs="宋体" w:hint="eastAsia"/>
                <w:color w:val="auto"/>
                <w:szCs w:val="21"/>
                <w:highlight w:val="none"/>
              </w:rPr>
              <w:t xml:space="preserve">    （最长不超过5年）</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2"/>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商务报价</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月保底经营费用</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left"/>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双流机场T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Theme="minorEastAsia" w:eastAsiaTheme="minorEastAsia" w:hAnsiTheme="minorEastAsia" w:cs="宋体" w:hint="eastAsia"/>
                <w:color w:val="auto"/>
                <w:szCs w:val="21"/>
                <w:highlight w:val="none"/>
              </w:rPr>
              <w:t>旅客吞吐量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万人次时月保底经营费用单价（元/平方米/月）</w:t>
            </w:r>
          </w:p>
        </w:tc>
        <w:tc>
          <w:tcPr>
            <w:tcW w:w="6227"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（元/平方米/月）</w:t>
            </w:r>
            <w:r>
              <w:rPr>
                <w:rFonts w:ascii="宋体" w:hAnsi="宋体" w:cs="宋体" w:hint="eastAsia"/>
                <w:b/>
                <w:bCs/>
                <w:color w:val="auto"/>
                <w:sz w:val="21"/>
                <w:szCs w:val="21"/>
                <w:highlight w:val="none"/>
              </w:rPr>
              <w:t>(整数）</w:t>
            </w:r>
            <w:bookmarkStart w:id="23" w:name="_GoBack"/>
            <w:bookmarkEnd w:id="23"/>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rPr>
                <w:rFonts w:ascii="宋体" w:hAnsi="宋体" w:cs="宋体"/>
                <w:color w:val="auto"/>
                <w:szCs w:val="21"/>
                <w:highlight w:val="none"/>
              </w:rPr>
            </w:pPr>
            <w:r>
              <w:rPr>
                <w:rFonts w:ascii="Times New Roman" w:hAnsi="Times New Roman" w:hint="eastAsia"/>
                <w:color w:val="auto"/>
                <w:sz w:val="22"/>
                <w:szCs w:val="22"/>
                <w:highlight w:val="none"/>
                <w:lang w:val="en-US"/>
              </w:rPr>
              <w:t>便利店</w:t>
            </w:r>
            <w:r>
              <w:rPr>
                <w:rFonts w:ascii="宋体" w:hAnsi="宋体" w:cs="宋体" w:hint="eastAsia"/>
                <w:color w:val="auto"/>
                <w:szCs w:val="21"/>
                <w:highlight w:val="none"/>
              </w:rPr>
              <w:t>销售额提成比例</w:t>
            </w:r>
          </w:p>
        </w:tc>
        <w:tc>
          <w:tcPr>
            <w:tcW w:w="6227" w:type="dxa"/>
            <w:vAlign w:val="center"/>
          </w:tcPr>
          <w:p>
            <w:pPr>
              <w:pStyle w:val="a"/>
              <w:spacing w:line="360" w:lineRule="auto"/>
              <w:ind w:firstLine="2520"/>
              <w:rPr>
                <w:rFonts w:ascii="宋体" w:hAnsi="宋体" w:cs="宋体"/>
                <w:color w:val="auto"/>
                <w:sz w:val="21"/>
                <w:szCs w:val="21"/>
                <w:highlight w:val="none"/>
                <w:u w:val="single"/>
              </w:rPr>
            </w:pP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w:t>
            </w:r>
            <w:r>
              <w:rPr>
                <w:rFonts w:ascii="宋体" w:hAnsi="宋体" w:cs="宋体" w:hint="eastAsia"/>
                <w:b/>
                <w:bCs/>
                <w:color w:val="auto"/>
                <w:sz w:val="21"/>
                <w:szCs w:val="21"/>
                <w:highlight w:val="none"/>
              </w:rPr>
              <w:t>(整数）</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备注</w:t>
            </w:r>
          </w:p>
        </w:tc>
        <w:tc>
          <w:tcPr>
            <w:tcW w:w="6227" w:type="dxa"/>
          </w:tcPr>
          <w:p>
            <w:pPr>
              <w:spacing w:line="360" w:lineRule="auto"/>
              <w:rPr>
                <w:rFonts w:ascii="宋体" w:hAnsi="宋体" w:cs="宋体"/>
                <w:color w:val="auto"/>
                <w:szCs w:val="21"/>
                <w:highlight w:val="none"/>
              </w:rPr>
            </w:pPr>
            <w:r>
              <w:rPr>
                <w:rFonts w:ascii="宋体" w:hAnsi="宋体" w:cs="宋体" w:hint="eastAsia"/>
                <w:color w:val="auto"/>
                <w:szCs w:val="21"/>
                <w:highlight w:val="none"/>
              </w:rPr>
              <w:t>1、租金模式为月保底经营费用与销售额提成两者取高的模式，月保底经营费用及销售额提成比例均须填写。</w:t>
            </w:r>
          </w:p>
          <w:p>
            <w:pPr>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的月保底经营费用随双流国际机场T2航站楼月</w:t>
            </w:r>
            <w:r>
              <w:rPr>
                <w:rFonts w:ascii="宋体" w:hAnsi="宋体" w:cs="宋体" w:hint="eastAsia"/>
                <w:color w:val="auto"/>
                <w:highlight w:val="none"/>
              </w:rPr>
              <w:t>旅客</w:t>
            </w:r>
            <w:r>
              <w:rPr>
                <w:rFonts w:ascii="宋体" w:hAnsi="宋体" w:cs="宋体" w:hint="eastAsia"/>
                <w:color w:val="auto"/>
                <w:szCs w:val="21"/>
                <w:highlight w:val="none"/>
              </w:rPr>
              <w:t>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w:t>
            </w:r>
            <w:r>
              <w:rPr>
                <w:rFonts w:ascii="宋体" w:hAnsi="宋体" w:cs="宋体" w:hint="eastAsia"/>
                <w:color w:val="auto"/>
                <w:szCs w:val="21"/>
                <w:highlight w:val="none"/>
              </w:rPr>
              <w:t>进行调整。</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3、经营费用计算均以人民币为单位。</w:t>
            </w:r>
          </w:p>
          <w:p>
            <w:pPr>
              <w:spacing w:line="360" w:lineRule="auto"/>
              <w:rPr>
                <w:rFonts w:ascii="宋体" w:hAnsi="宋体" w:cs="宋体"/>
                <w:color w:val="auto"/>
                <w:szCs w:val="21"/>
                <w:highlight w:val="none"/>
              </w:rPr>
            </w:pPr>
            <w:r>
              <w:rPr>
                <w:rFonts w:ascii="宋体" w:hAnsi="宋体" w:cs="宋体" w:hint="eastAsia"/>
                <w:color w:val="auto"/>
                <w:szCs w:val="21"/>
                <w:highlight w:val="none"/>
              </w:rPr>
              <w:t>4、销售额提成比例填报取整。</w:t>
            </w:r>
          </w:p>
        </w:tc>
      </w:tr>
    </w:tbl>
    <w:p>
      <w:pPr>
        <w:rPr>
          <w:rFonts w:hint="default"/>
          <w:sz w:val="28"/>
          <w:szCs w:val="36"/>
          <w:lang w:val="en-US" w:eastAsia="zh-CN"/>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937D8"/>
    <w:multiLevelType w:val="singleLevel"/>
    <w:tmpl w:val="ABD937D8"/>
    <w:lvl w:ilvl="0">
      <w:start w:val="1"/>
      <w:numFmt w:val="decimal"/>
      <w:lvlText w:val="%1."/>
      <w:lvlJc w:val="left"/>
      <w:pPr>
        <w:tabs>
          <w:tab w:val="left" w:pos="312"/>
        </w:tabs>
      </w:pPr>
    </w:lvl>
  </w:abstractNum>
  <w:abstractNum w:abstractNumId="1">
    <w:nsid w:val="5D7F46B3"/>
    <w:multiLevelType w:val="singleLevel"/>
    <w:tmpl w:val="5D7F46B3"/>
    <w:lvl w:ilvl="0">
      <w:start w:val="1"/>
      <w:numFmt w:val="chineseCounting"/>
      <w:suff w:val="nothing"/>
      <w:lvlText w:val="%1、"/>
      <w:lvlJc w:val="left"/>
    </w:lvl>
  </w:abstractNum>
  <w:abstractNum w:abstractNumId="2">
    <w:nsid w:val="6B4347AA"/>
    <w:multiLevelType w:val="multilevel"/>
    <w:tmpl w:val="6B4347AA"/>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al"/>
    <w:uiPriority w:val="34"/>
    <w:qFormat/>
    <w:pPr>
      <w:ind w:firstLine="420"/>
    </w:pPr>
  </w:style>
  <w:style w:type="paragraph" w:customStyle="1" w:styleId="ListParagraph">
    <w:name w:val="List Paragraph"/>
    <w:basedOn w:val="Normal"/>
    <w:uiPriority w:val="99"/>
    <w:qFormat/>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2014-10-29T12:08:00Z</dcterms:created>
  <dcterms:modified xsi:type="dcterms:W3CDTF">2024-01-19T01:57:06Z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