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ascii="宋体" w:hAnsi="宋体"/>
          <w:sz w:val="24"/>
          <w:szCs w:val="24"/>
        </w:rPr>
      </w:pPr>
      <w:r>
        <w:rPr>
          <w:rFonts w:hint="eastAsia" w:ascii="宋体" w:hAnsi="宋体"/>
          <w:sz w:val="24"/>
          <w:szCs w:val="24"/>
        </w:rPr>
        <w:t>附件</w:t>
      </w:r>
      <w:r>
        <w:rPr>
          <w:rFonts w:hint="eastAsia" w:ascii="宋体" w:hAnsi="宋体"/>
          <w:sz w:val="24"/>
          <w:szCs w:val="24"/>
          <w:lang w:val="en-US" w:eastAsia="zh-CN"/>
        </w:rPr>
        <w:t>2-1</w:t>
      </w:r>
      <w:r>
        <w:rPr>
          <w:rFonts w:hint="eastAsia" w:ascii="宋体" w:hAnsi="宋体"/>
          <w:sz w:val="24"/>
          <w:szCs w:val="24"/>
        </w:rPr>
        <w:t>：</w:t>
      </w:r>
    </w:p>
    <w:p>
      <w:pPr>
        <w:spacing w:line="720" w:lineRule="auto"/>
        <w:jc w:val="center"/>
        <w:rPr>
          <w:rFonts w:ascii="宋体" w:hAnsi="宋体"/>
          <w:sz w:val="24"/>
          <w:szCs w:val="24"/>
        </w:rPr>
      </w:pPr>
      <w:r>
        <w:rPr>
          <w:rFonts w:hint="eastAsia" w:ascii="宋体" w:hAnsi="宋体" w:cs="宋体"/>
          <w:bCs w:val="0"/>
          <w:kern w:val="0"/>
          <w:sz w:val="32"/>
          <w:szCs w:val="32"/>
          <w:lang w:eastAsia="zh-CN"/>
        </w:rPr>
        <w:t>复合业态</w:t>
      </w:r>
      <w:r>
        <w:rPr>
          <w:rFonts w:hint="eastAsia" w:ascii="宋体" w:hAnsi="宋体" w:cs="宋体"/>
          <w:bCs w:val="0"/>
          <w:kern w:val="0"/>
          <w:sz w:val="32"/>
          <w:szCs w:val="32"/>
        </w:rPr>
        <w:t>报价单</w:t>
      </w:r>
    </w:p>
    <w:p>
      <w:pPr>
        <w:spacing w:line="720" w:lineRule="auto"/>
        <w:ind w:left="-4536" w:leftChars="-2160" w:firstLine="4554" w:firstLineChars="189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公司名称:</w:t>
      </w:r>
    </w:p>
    <w:p>
      <w:pPr>
        <w:spacing w:line="720" w:lineRule="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eastAsia="zh-CN"/>
        </w:rPr>
        <w:t>标段</w:t>
      </w:r>
      <w:r>
        <w:rPr>
          <w:rFonts w:hint="eastAsia" w:asciiTheme="minorEastAsia" w:hAnsiTheme="minorEastAsia" w:eastAsiaTheme="minorEastAsia" w:cstheme="minorEastAsia"/>
          <w:b/>
          <w:sz w:val="24"/>
          <w:szCs w:val="24"/>
        </w:rPr>
        <w:t>编号或项目名称:</w:t>
      </w:r>
    </w:p>
    <w:p>
      <w:pPr>
        <w:numPr>
          <w:ilvl w:val="0"/>
          <w:numId w:val="0"/>
        </w:numPr>
        <w:spacing w:line="480" w:lineRule="auto"/>
        <w:ind w:leftChars="0"/>
        <w:rPr>
          <w:rFonts w:hint="eastAsia" w:asciiTheme="minorEastAsia" w:hAnsiTheme="minorEastAsia" w:eastAsiaTheme="minorEastAsia" w:cstheme="minorEastAsia"/>
          <w:b/>
          <w:sz w:val="24"/>
          <w:szCs w:val="24"/>
          <w:u w:val="single"/>
          <w:lang w:eastAsia="zh-CN"/>
        </w:rPr>
      </w:pPr>
      <w:r>
        <w:rPr>
          <w:rFonts w:hint="eastAsia" w:asciiTheme="minorEastAsia" w:hAnsiTheme="minorEastAsia" w:eastAsiaTheme="minorEastAsia" w:cstheme="minorEastAsia"/>
          <w:b/>
          <w:sz w:val="24"/>
          <w:szCs w:val="24"/>
        </w:rPr>
        <w:t>报价：保底</w:t>
      </w:r>
      <w:r>
        <w:rPr>
          <w:rFonts w:hint="eastAsia" w:asciiTheme="minorEastAsia" w:hAnsiTheme="minorEastAsia" w:eastAsiaTheme="minorEastAsia" w:cstheme="minorEastAsia"/>
          <w:b/>
          <w:sz w:val="24"/>
          <w:szCs w:val="24"/>
          <w:lang w:eastAsia="zh-CN"/>
        </w:rPr>
        <w:t>经营费用￥</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rPr>
        <w:t>元/平米/月，销售额提成率</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lang w:eastAsia="zh-CN"/>
        </w:rPr>
        <w:t>。</w:t>
      </w:r>
    </w:p>
    <w:p>
      <w:pPr>
        <w:spacing w:line="720" w:lineRule="auto"/>
        <w:rPr>
          <w:rFonts w:hint="eastAsia" w:asciiTheme="minorEastAsia" w:hAnsiTheme="minorEastAsia" w:eastAsiaTheme="minorEastAsia" w:cstheme="minorEastAsia"/>
          <w:b/>
          <w:sz w:val="24"/>
          <w:szCs w:val="24"/>
          <w:u w:val="none"/>
          <w:lang w:val="en-US" w:eastAsia="zh-CN"/>
        </w:rPr>
      </w:pPr>
      <w:r>
        <w:rPr>
          <w:rFonts w:hint="eastAsia" w:asciiTheme="minorEastAsia" w:hAnsiTheme="minorEastAsia" w:eastAsiaTheme="minorEastAsia" w:cstheme="minorEastAsia"/>
          <w:b/>
          <w:sz w:val="24"/>
          <w:szCs w:val="24"/>
          <w:u w:val="none"/>
          <w:lang w:val="en-US" w:eastAsia="zh-CN"/>
        </w:rPr>
        <w:t>业态及面积：</w:t>
      </w:r>
    </w:p>
    <w:p>
      <w:pPr>
        <w:spacing w:line="720" w:lineRule="auto"/>
        <w:rPr>
          <w:rFonts w:hint="eastAsia" w:asciiTheme="minorEastAsia" w:hAnsiTheme="minorEastAsia" w:eastAsiaTheme="minorEastAsia" w:cstheme="minorEastAsia"/>
          <w:b/>
          <w:sz w:val="24"/>
          <w:szCs w:val="24"/>
          <w:u w:val="none"/>
          <w:lang w:eastAsia="zh-CN"/>
        </w:rPr>
      </w:pPr>
      <w:r>
        <w:rPr>
          <w:rFonts w:hint="eastAsia" w:asciiTheme="minorEastAsia" w:hAnsiTheme="minorEastAsia" w:eastAsiaTheme="minorEastAsia" w:cstheme="minorEastAsia"/>
          <w:b/>
          <w:sz w:val="24"/>
          <w:szCs w:val="24"/>
          <w:u w:val="none"/>
          <w:lang w:val="en-US" w:eastAsia="zh-CN"/>
        </w:rPr>
        <w:t>业态1名称：</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lang w:eastAsia="zh-CN"/>
        </w:rPr>
        <w:t>，具体经营品牌或项目</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u w:val="none"/>
          <w:lang w:val="en-US" w:eastAsia="zh-CN"/>
        </w:rPr>
        <w:t xml:space="preserve"> ，面积</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lang w:val="en-US" w:eastAsia="zh-CN"/>
        </w:rPr>
        <w:t>㎡</w:t>
      </w:r>
      <w:r>
        <w:rPr>
          <w:rFonts w:hint="eastAsia" w:asciiTheme="minorEastAsia" w:hAnsiTheme="minorEastAsia" w:eastAsiaTheme="minorEastAsia" w:cstheme="minorEastAsia"/>
          <w:b/>
          <w:sz w:val="24"/>
          <w:szCs w:val="24"/>
          <w:u w:val="none"/>
          <w:lang w:eastAsia="zh-CN"/>
        </w:rPr>
        <w:t>；</w:t>
      </w:r>
    </w:p>
    <w:p>
      <w:pPr>
        <w:spacing w:line="720" w:lineRule="auto"/>
        <w:rPr>
          <w:rFonts w:hint="eastAsia" w:asciiTheme="minorEastAsia" w:hAnsiTheme="minorEastAsia" w:eastAsiaTheme="minorEastAsia" w:cstheme="minorEastAsia"/>
          <w:b/>
          <w:sz w:val="24"/>
          <w:szCs w:val="24"/>
          <w:u w:val="none"/>
          <w:lang w:eastAsia="zh-CN"/>
        </w:rPr>
      </w:pPr>
      <w:r>
        <w:rPr>
          <w:rFonts w:hint="eastAsia" w:asciiTheme="minorEastAsia" w:hAnsiTheme="minorEastAsia" w:eastAsiaTheme="minorEastAsia" w:cstheme="minorEastAsia"/>
          <w:b/>
          <w:sz w:val="24"/>
          <w:szCs w:val="24"/>
          <w:u w:val="none"/>
          <w:lang w:val="en-US" w:eastAsia="zh-CN"/>
        </w:rPr>
        <w:t>业态2名称：</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lang w:eastAsia="zh-CN"/>
        </w:rPr>
        <w:t>，具体经营品牌或项目</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u w:val="none"/>
          <w:lang w:val="en-US" w:eastAsia="zh-CN"/>
        </w:rPr>
        <w:t xml:space="preserve"> ，面积</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lang w:val="en-US" w:eastAsia="zh-CN"/>
        </w:rPr>
        <w:t>㎡</w:t>
      </w:r>
      <w:r>
        <w:rPr>
          <w:rFonts w:hint="eastAsia" w:asciiTheme="minorEastAsia" w:hAnsiTheme="minorEastAsia" w:eastAsiaTheme="minorEastAsia" w:cstheme="minorEastAsia"/>
          <w:b/>
          <w:sz w:val="24"/>
          <w:szCs w:val="24"/>
          <w:u w:val="none"/>
          <w:lang w:eastAsia="zh-CN"/>
        </w:rPr>
        <w:t>；</w:t>
      </w:r>
    </w:p>
    <w:p>
      <w:pPr>
        <w:spacing w:line="720" w:lineRule="auto"/>
        <w:rPr>
          <w:rFonts w:hint="eastAsia" w:asciiTheme="minorEastAsia" w:hAnsiTheme="minorEastAsia" w:eastAsiaTheme="minorEastAsia" w:cstheme="minorEastAsia"/>
          <w:b/>
          <w:sz w:val="24"/>
          <w:szCs w:val="24"/>
          <w:u w:val="none"/>
          <w:lang w:val="en-US" w:eastAsia="zh-CN"/>
        </w:rPr>
      </w:pPr>
      <w:r>
        <w:rPr>
          <w:rFonts w:hint="eastAsia" w:asciiTheme="minorEastAsia" w:hAnsiTheme="minorEastAsia" w:eastAsiaTheme="minorEastAsia" w:cstheme="minorEastAsia"/>
          <w:b/>
          <w:sz w:val="24"/>
          <w:szCs w:val="24"/>
          <w:u w:val="none"/>
          <w:lang w:val="en-US" w:eastAsia="zh-CN"/>
        </w:rPr>
        <w:t>业态3名称：</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lang w:eastAsia="zh-CN"/>
        </w:rPr>
        <w:t>，具体经营品牌或项目</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u w:val="none"/>
          <w:lang w:val="en-US" w:eastAsia="zh-CN"/>
        </w:rPr>
        <w:t xml:space="preserve"> ，面积</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lang w:val="en-US" w:eastAsia="zh-CN"/>
        </w:rPr>
        <w:t>㎡；</w:t>
      </w:r>
    </w:p>
    <w:p>
      <w:pPr>
        <w:spacing w:line="720" w:lineRule="auto"/>
        <w:rPr>
          <w:rFonts w:hint="eastAsia" w:asciiTheme="minorEastAsia" w:hAnsiTheme="minorEastAsia" w:eastAsiaTheme="minorEastAsia" w:cstheme="minorEastAsia"/>
          <w:b/>
          <w:sz w:val="24"/>
          <w:szCs w:val="24"/>
          <w:u w:val="none"/>
          <w:lang w:val="en-US" w:eastAsia="zh-CN"/>
        </w:rPr>
      </w:pPr>
      <w:r>
        <w:rPr>
          <w:rFonts w:hint="eastAsia" w:asciiTheme="minorEastAsia" w:hAnsiTheme="minorEastAsia" w:eastAsiaTheme="minorEastAsia" w:cstheme="minorEastAsia"/>
          <w:b/>
          <w:sz w:val="24"/>
          <w:szCs w:val="24"/>
          <w:u w:val="none"/>
          <w:lang w:val="en-US" w:eastAsia="zh-CN"/>
        </w:rPr>
        <w:t>业态4名称：</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lang w:eastAsia="zh-CN"/>
        </w:rPr>
        <w:t>，具体经营品牌或项目</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u w:val="none"/>
          <w:lang w:val="en-US" w:eastAsia="zh-CN"/>
        </w:rPr>
        <w:t xml:space="preserve"> ，面积</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lang w:val="en-US" w:eastAsia="zh-CN"/>
        </w:rPr>
        <w:t>㎡</w:t>
      </w:r>
      <w:r>
        <w:rPr>
          <w:rFonts w:hint="eastAsia" w:asciiTheme="minorEastAsia" w:hAnsiTheme="minorEastAsia" w:eastAsiaTheme="minorEastAsia" w:cstheme="minorEastAsia"/>
          <w:b/>
          <w:sz w:val="24"/>
          <w:szCs w:val="24"/>
          <w:u w:val="none"/>
          <w:lang w:eastAsia="zh-CN"/>
        </w:rPr>
        <w:t>。</w:t>
      </w:r>
    </w:p>
    <w:p>
      <w:pPr>
        <w:numPr>
          <w:ilvl w:val="0"/>
          <w:numId w:val="0"/>
        </w:numPr>
        <w:spacing w:line="360" w:lineRule="auto"/>
        <w:rPr>
          <w:rFonts w:hint="eastAsia" w:ascii="宋体" w:hAnsi="宋体"/>
          <w:b/>
          <w:bCs/>
          <w:color w:val="auto"/>
          <w:sz w:val="22"/>
          <w:szCs w:val="24"/>
          <w:lang w:val="en-US" w:eastAsia="zh-CN"/>
        </w:rPr>
      </w:pPr>
      <w:r>
        <w:rPr>
          <w:rFonts w:hint="eastAsia" w:ascii="宋体" w:hAnsi="宋体"/>
          <w:b/>
          <w:bCs/>
          <w:color w:val="auto"/>
          <w:sz w:val="22"/>
          <w:szCs w:val="24"/>
          <w:lang w:val="en-US" w:eastAsia="zh-CN"/>
        </w:rPr>
        <w:t>提示：</w:t>
      </w:r>
    </w:p>
    <w:p>
      <w:pPr>
        <w:numPr>
          <w:ilvl w:val="0"/>
          <w:numId w:val="1"/>
        </w:numPr>
        <w:spacing w:line="240" w:lineRule="auto"/>
        <w:ind w:left="425" w:leftChars="0" w:hanging="425" w:firstLineChars="0"/>
        <w:rPr>
          <w:rFonts w:ascii="宋体" w:hAnsi="宋体" w:eastAsia="宋体"/>
          <w:color w:val="auto"/>
          <w:sz w:val="22"/>
          <w:szCs w:val="24"/>
        </w:rPr>
      </w:pPr>
      <w:r>
        <w:rPr>
          <w:rFonts w:hint="eastAsia" w:ascii="宋体" w:hAnsi="宋体" w:eastAsia="宋体" w:cs="宋体"/>
          <w:b/>
          <w:bCs/>
          <w:sz w:val="24"/>
          <w:szCs w:val="24"/>
          <w:highlight w:val="none"/>
          <w:lang w:val="en-US" w:eastAsia="zh-CN"/>
        </w:rPr>
        <w:t>D-R-8A、D-R-10A、FG-R-6A</w:t>
      </w:r>
      <w:r>
        <w:rPr>
          <w:rFonts w:hint="eastAsia" w:ascii="宋体" w:hAnsi="宋体" w:cs="宋体"/>
          <w:b/>
          <w:bCs/>
          <w:sz w:val="24"/>
          <w:szCs w:val="24"/>
          <w:highlight w:val="none"/>
          <w:lang w:val="en-US" w:eastAsia="zh-CN"/>
        </w:rPr>
        <w:t>标段</w:t>
      </w:r>
      <w:r>
        <w:rPr>
          <w:rFonts w:hint="eastAsia" w:ascii="宋体" w:hAnsi="宋体"/>
          <w:color w:val="auto"/>
          <w:sz w:val="22"/>
          <w:szCs w:val="24"/>
          <w:lang w:val="en-US" w:eastAsia="zh-CN"/>
        </w:rPr>
        <w:t>业态名称为：品牌</w:t>
      </w:r>
      <w:r>
        <w:rPr>
          <w:rFonts w:hint="eastAsia" w:cs="宋体"/>
          <w:sz w:val="22"/>
          <w:szCs w:val="24"/>
          <w:lang w:eastAsia="zh-CN"/>
        </w:rPr>
        <w:t>百货、食品特产、休闲体验</w:t>
      </w:r>
      <w:r>
        <w:rPr>
          <w:rFonts w:hint="eastAsia" w:cs="宋体"/>
          <w:b w:val="0"/>
          <w:bCs w:val="0"/>
          <w:sz w:val="22"/>
          <w:szCs w:val="24"/>
          <w:lang w:eastAsia="zh-CN"/>
        </w:rPr>
        <w:t>，</w:t>
      </w:r>
      <w:r>
        <w:rPr>
          <w:rFonts w:hint="eastAsia" w:cs="宋体"/>
          <w:sz w:val="22"/>
          <w:szCs w:val="24"/>
          <w:lang w:eastAsia="zh-CN"/>
        </w:rPr>
        <w:t>请按照实际投报情况填写，不经营业态不填写；</w:t>
      </w:r>
    </w:p>
    <w:p>
      <w:pPr>
        <w:numPr>
          <w:ilvl w:val="0"/>
          <w:numId w:val="1"/>
        </w:numPr>
        <w:spacing w:line="240" w:lineRule="auto"/>
        <w:ind w:left="425" w:leftChars="0" w:hanging="425" w:firstLineChars="0"/>
        <w:rPr>
          <w:rFonts w:ascii="宋体" w:hAnsi="宋体" w:eastAsia="宋体"/>
          <w:color w:val="auto"/>
          <w:sz w:val="22"/>
          <w:szCs w:val="24"/>
        </w:rPr>
      </w:pPr>
      <w:r>
        <w:rPr>
          <w:rFonts w:hint="eastAsia" w:ascii="宋体" w:hAnsi="宋体" w:eastAsia="宋体" w:cs="宋体"/>
          <w:b/>
          <w:bCs/>
          <w:color w:val="auto"/>
          <w:sz w:val="24"/>
          <w:szCs w:val="24"/>
          <w:lang w:val="en-US" w:eastAsia="zh-CN"/>
        </w:rPr>
        <w:t>ARR-F-5A</w:t>
      </w:r>
      <w:r>
        <w:rPr>
          <w:rFonts w:hint="eastAsia" w:ascii="宋体" w:hAnsi="宋体" w:cs="宋体"/>
          <w:b/>
          <w:bCs/>
          <w:sz w:val="24"/>
          <w:szCs w:val="24"/>
          <w:highlight w:val="none"/>
          <w:lang w:val="en-US" w:eastAsia="zh-CN"/>
        </w:rPr>
        <w:t>标段</w:t>
      </w:r>
      <w:r>
        <w:rPr>
          <w:rFonts w:hint="eastAsia" w:ascii="宋体" w:hAnsi="宋体"/>
          <w:color w:val="auto"/>
          <w:sz w:val="22"/>
          <w:szCs w:val="24"/>
          <w:lang w:val="en-US" w:eastAsia="zh-CN"/>
        </w:rPr>
        <w:t>业态名称为：品牌</w:t>
      </w:r>
      <w:r>
        <w:rPr>
          <w:rFonts w:hint="eastAsia" w:cs="宋体"/>
          <w:sz w:val="22"/>
          <w:szCs w:val="24"/>
          <w:lang w:eastAsia="zh-CN"/>
        </w:rPr>
        <w:t>百货、食品特产、休闲体验、餐饮</w:t>
      </w:r>
      <w:r>
        <w:rPr>
          <w:rFonts w:hint="eastAsia" w:cs="宋体"/>
          <w:b w:val="0"/>
          <w:bCs w:val="0"/>
          <w:sz w:val="22"/>
          <w:szCs w:val="24"/>
          <w:lang w:eastAsia="zh-CN"/>
        </w:rPr>
        <w:t>，</w:t>
      </w:r>
      <w:r>
        <w:rPr>
          <w:rFonts w:hint="eastAsia" w:cs="宋体"/>
          <w:sz w:val="22"/>
          <w:szCs w:val="24"/>
          <w:lang w:eastAsia="zh-CN"/>
        </w:rPr>
        <w:t>请按照实际投报情况填写，不经营业态不填写；</w:t>
      </w:r>
    </w:p>
    <w:p>
      <w:pPr>
        <w:numPr>
          <w:ilvl w:val="0"/>
          <w:numId w:val="1"/>
        </w:numPr>
        <w:spacing w:line="240" w:lineRule="auto"/>
        <w:ind w:left="425" w:leftChars="0" w:hanging="425" w:firstLineChars="0"/>
      </w:pPr>
      <w:r>
        <w:rPr>
          <w:rFonts w:hint="eastAsia" w:ascii="宋体" w:hAnsi="宋体" w:eastAsia="宋体" w:cs="Times New Roman"/>
          <w:color w:val="auto"/>
          <w:sz w:val="22"/>
          <w:szCs w:val="24"/>
          <w:lang w:val="en-US" w:eastAsia="zh-CN"/>
        </w:rPr>
        <w:t>具体的经营品牌或项目作为是否与周边店铺冲突的重要考量因素，请商家谨慎填写</w:t>
      </w:r>
      <w:r>
        <w:rPr>
          <w:rFonts w:hint="eastAsia" w:ascii="宋体" w:hAnsi="宋体" w:cs="Times New Roman"/>
          <w:color w:val="auto"/>
          <w:sz w:val="22"/>
          <w:szCs w:val="24"/>
          <w:lang w:val="en-US" w:eastAsia="zh-CN"/>
        </w:rPr>
        <w:t>；</w:t>
      </w:r>
    </w:p>
    <w:p>
      <w:pPr>
        <w:numPr>
          <w:ilvl w:val="0"/>
          <w:numId w:val="1"/>
        </w:numPr>
        <w:spacing w:line="240" w:lineRule="auto"/>
        <w:ind w:left="425" w:leftChars="0" w:hanging="425" w:firstLineChars="0"/>
      </w:pPr>
      <w:r>
        <w:rPr>
          <w:rFonts w:hint="eastAsia" w:ascii="宋体" w:hAnsi="宋体" w:eastAsia="宋体" w:cs="Times New Roman"/>
          <w:color w:val="auto"/>
          <w:sz w:val="22"/>
          <w:szCs w:val="24"/>
          <w:lang w:val="en-US" w:eastAsia="zh-CN"/>
        </w:rPr>
        <w:t>各业态面积影响将最终评分结果，不能随意更改，请谨慎填报</w:t>
      </w:r>
      <w:r>
        <w:rPr>
          <w:rFonts w:hint="eastAsia" w:ascii="宋体" w:hAnsi="宋体" w:eastAsia="宋体" w:cs="Times New Roman"/>
          <w:color w:val="auto"/>
          <w:kern w:val="2"/>
          <w:sz w:val="22"/>
          <w:szCs w:val="24"/>
          <w:lang w:val="en-US" w:eastAsia="zh-CN" w:bidi="ar-SA"/>
        </w:rPr>
        <w:t>；</w:t>
      </w:r>
    </w:p>
    <w:p>
      <w:pPr>
        <w:numPr>
          <w:ilvl w:val="0"/>
          <w:numId w:val="1"/>
        </w:numPr>
        <w:spacing w:line="240" w:lineRule="auto"/>
        <w:ind w:left="425" w:leftChars="0" w:hanging="425" w:firstLineChars="0"/>
        <w:rPr>
          <w:rFonts w:hint="eastAsia"/>
          <w:lang w:val="en-US" w:eastAsia="zh-CN"/>
        </w:rPr>
      </w:pPr>
      <w:r>
        <w:rPr>
          <w:rFonts w:hint="eastAsia" w:ascii="宋体" w:hAnsi="宋体" w:eastAsia="宋体" w:cs="Times New Roman"/>
          <w:color w:val="auto"/>
          <w:kern w:val="2"/>
          <w:sz w:val="22"/>
          <w:szCs w:val="24"/>
          <w:lang w:val="en-US" w:eastAsia="zh-CN" w:bidi="ar-SA"/>
        </w:rPr>
        <w:t>由于天府新机场计划在2021年下半年启用，进出港航班逐步转场，届时可能对本场客流量造成一定影响。</w:t>
      </w:r>
    </w:p>
    <w:p>
      <w:pPr>
        <w:spacing w:line="360" w:lineRule="auto"/>
        <w:rPr>
          <w:rFonts w:hint="eastAsia" w:ascii="宋体" w:hAnsi="宋体"/>
          <w:b/>
          <w:sz w:val="24"/>
          <w:szCs w:val="24"/>
        </w:rPr>
      </w:pPr>
      <w:r>
        <w:rPr>
          <w:rFonts w:hint="eastAsia" w:ascii="宋体" w:hAnsi="宋体"/>
          <w:b/>
          <w:color w:val="auto"/>
          <w:sz w:val="24"/>
          <w:szCs w:val="24"/>
        </w:rPr>
        <w:t xml:space="preserve">经营期限: </w:t>
      </w:r>
      <w:r>
        <w:rPr>
          <w:rFonts w:hint="eastAsia" w:ascii="宋体" w:hAnsi="宋体"/>
          <w:b/>
          <w:color w:val="auto"/>
          <w:sz w:val="24"/>
          <w:szCs w:val="24"/>
          <w:u w:val="single"/>
        </w:rPr>
        <w:t xml:space="preserve">       </w:t>
      </w:r>
      <w:r>
        <w:rPr>
          <w:rFonts w:hint="eastAsia" w:ascii="宋体" w:hAnsi="宋体"/>
          <w:b/>
          <w:color w:val="auto"/>
          <w:sz w:val="24"/>
          <w:szCs w:val="24"/>
        </w:rPr>
        <w:t>年</w:t>
      </w:r>
      <w:r>
        <w:rPr>
          <w:rFonts w:hint="eastAsia" w:ascii="宋体" w:hAnsi="宋体"/>
          <w:b/>
          <w:color w:val="auto"/>
          <w:sz w:val="24"/>
          <w:szCs w:val="24"/>
          <w:lang w:val="en-US" w:eastAsia="zh-CN"/>
        </w:rPr>
        <w:t>(FG-R-6A、D-R-8A、D-R-10A标段为1-3年，ARR-F-5A标段若无餐饮项目为1-3年</w:t>
      </w:r>
      <w:r>
        <w:rPr>
          <w:rFonts w:hint="eastAsia" w:ascii="宋体" w:hAnsi="宋体"/>
          <w:b/>
          <w:sz w:val="24"/>
          <w:szCs w:val="24"/>
          <w:lang w:val="en-US" w:eastAsia="zh-CN"/>
        </w:rPr>
        <w:t>、</w:t>
      </w:r>
      <w:r>
        <w:rPr>
          <w:rFonts w:hint="eastAsia" w:ascii="宋体" w:hAnsi="宋体"/>
          <w:b/>
          <w:sz w:val="24"/>
          <w:szCs w:val="24"/>
          <w:lang w:eastAsia="zh-CN"/>
        </w:rPr>
        <w:t>有餐饮项目为</w:t>
      </w:r>
      <w:r>
        <w:rPr>
          <w:rFonts w:hint="eastAsia" w:ascii="宋体" w:hAnsi="宋体"/>
          <w:b/>
          <w:sz w:val="24"/>
          <w:szCs w:val="24"/>
          <w:lang w:val="en-US" w:eastAsia="zh-CN"/>
        </w:rPr>
        <w:t>1-5年，</w:t>
      </w:r>
      <w:r>
        <w:rPr>
          <w:rFonts w:hint="eastAsia" w:ascii="宋体" w:hAnsi="宋体"/>
          <w:b/>
          <w:sz w:val="24"/>
          <w:szCs w:val="24"/>
        </w:rPr>
        <w:t>商家可</w:t>
      </w:r>
      <w:r>
        <w:rPr>
          <w:rFonts w:hint="eastAsia" w:ascii="宋体" w:hAnsi="宋体"/>
          <w:b/>
          <w:sz w:val="24"/>
          <w:szCs w:val="24"/>
          <w:lang w:eastAsia="zh-CN"/>
        </w:rPr>
        <w:t>自行选择填报</w:t>
      </w:r>
      <w:r>
        <w:rPr>
          <w:rFonts w:hint="eastAsia" w:ascii="宋体" w:hAnsi="宋体"/>
          <w:b/>
          <w:sz w:val="24"/>
          <w:szCs w:val="24"/>
        </w:rPr>
        <w:t>)</w:t>
      </w:r>
    </w:p>
    <w:p>
      <w:pPr>
        <w:spacing w:line="720" w:lineRule="auto"/>
        <w:rPr>
          <w:rFonts w:hint="eastAsia" w:ascii="宋体" w:hAnsi="宋体"/>
          <w:b/>
          <w:sz w:val="24"/>
          <w:szCs w:val="24"/>
        </w:rPr>
      </w:pPr>
    </w:p>
    <w:p>
      <w:pPr>
        <w:spacing w:line="720" w:lineRule="auto"/>
        <w:rPr>
          <w:rFonts w:ascii="宋体" w:hAnsi="宋体"/>
          <w:b/>
          <w:sz w:val="24"/>
          <w:szCs w:val="24"/>
        </w:rPr>
      </w:pPr>
      <w:bookmarkStart w:id="1" w:name="_GoBack"/>
      <w:bookmarkEnd w:id="1"/>
      <w:r>
        <w:rPr>
          <w:rFonts w:hint="eastAsia" w:ascii="宋体" w:hAnsi="宋体"/>
          <w:b/>
          <w:sz w:val="24"/>
          <w:szCs w:val="24"/>
        </w:rPr>
        <w:t xml:space="preserve">报价人签名（公司盖章）： </w:t>
      </w:r>
      <w:r>
        <w:rPr>
          <w:rFonts w:ascii="宋体" w:hAnsi="宋体"/>
          <w:b/>
          <w:sz w:val="24"/>
          <w:szCs w:val="24"/>
        </w:rPr>
        <w:t xml:space="preserve">                      </w:t>
      </w:r>
      <w:r>
        <w:rPr>
          <w:rFonts w:hint="eastAsia" w:ascii="宋体" w:hAnsi="宋体"/>
          <w:b/>
          <w:sz w:val="24"/>
          <w:szCs w:val="24"/>
        </w:rPr>
        <w:t>时间：</w:t>
      </w:r>
    </w:p>
    <w:p>
      <w:pPr>
        <w:spacing w:line="720" w:lineRule="auto"/>
        <w:rPr>
          <w:rFonts w:ascii="宋体" w:hAnsi="宋体"/>
          <w:b/>
          <w:sz w:val="24"/>
          <w:szCs w:val="24"/>
        </w:rPr>
      </w:pPr>
      <w:r>
        <w:rPr>
          <w:rFonts w:hint="eastAsia" w:ascii="宋体" w:hAnsi="宋体"/>
          <w:b/>
          <w:sz w:val="24"/>
          <w:szCs w:val="24"/>
        </w:rPr>
        <w:t>本报价单为一次性最终报价，商家无二次报价机会，机场据此报价单进行评分。</w:t>
      </w:r>
    </w:p>
    <w:p/>
    <w:p>
      <w:pPr>
        <w:pStyle w:val="2"/>
        <w:rPr>
          <w:rFonts w:hint="eastAsia" w:eastAsia="宋体"/>
          <w:lang w:val="en-US" w:eastAsia="zh-CN"/>
        </w:rPr>
      </w:pPr>
      <w:r>
        <w:rPr>
          <w:rFonts w:hint="eastAsia" w:ascii="宋体" w:hAnsi="宋体"/>
          <w:b/>
          <w:sz w:val="24"/>
          <w:szCs w:val="24"/>
          <w:lang w:eastAsia="zh-CN"/>
        </w:rPr>
        <w:t>注：</w:t>
      </w:r>
    </w:p>
    <w:p>
      <w:pPr>
        <w:pStyle w:val="3"/>
        <w:keepNext w:val="0"/>
        <w:keepLines w:val="0"/>
        <w:pageBreakBefore w:val="0"/>
        <w:widowControl/>
        <w:numPr>
          <w:ilvl w:val="0"/>
          <w:numId w:val="2"/>
        </w:numPr>
        <w:kinsoku/>
        <w:wordWrap/>
        <w:overflowPunct/>
        <w:topLinePunct w:val="0"/>
        <w:autoSpaceDE/>
        <w:autoSpaceDN/>
        <w:bidi w:val="0"/>
        <w:adjustRightInd w:val="0"/>
        <w:snapToGrid w:val="0"/>
        <w:spacing w:before="157" w:beforeLines="50" w:beforeAutospacing="0" w:after="157" w:afterLines="50" w:afterAutospacing="0" w:line="360" w:lineRule="auto"/>
        <w:ind w:left="425" w:leftChars="0" w:hanging="425" w:firstLineChars="0"/>
        <w:textAlignment w:val="auto"/>
        <w:rPr>
          <w:rFonts w:hint="default" w:ascii="Times New Roman" w:hAnsi="Times New Roman" w:eastAsia="宋体"/>
          <w:b w:val="0"/>
          <w:bCs/>
          <w:color w:val="auto"/>
          <w:sz w:val="24"/>
          <w:szCs w:val="24"/>
          <w:lang w:val="en-US" w:eastAsia="zh-CN"/>
        </w:rPr>
      </w:pPr>
      <w:bookmarkStart w:id="0" w:name="_Toc28443"/>
      <w:r>
        <w:rPr>
          <w:rFonts w:hint="eastAsia" w:ascii="Times New Roman" w:hAnsi="Times New Roman" w:eastAsia="宋体" w:cs="宋体"/>
          <w:b/>
          <w:bCs w:val="0"/>
          <w:sz w:val="24"/>
          <w:szCs w:val="24"/>
          <w:lang w:val="en-US" w:eastAsia="zh-CN"/>
        </w:rPr>
        <w:t>保底租金报价方式及联动机制</w:t>
      </w:r>
      <w:r>
        <w:rPr>
          <w:rFonts w:hint="eastAsia" w:ascii="Times New Roman" w:hAnsi="Times New Roman" w:eastAsia="宋体" w:cs="宋体"/>
          <w:b w:val="0"/>
          <w:bCs/>
          <w:sz w:val="24"/>
          <w:szCs w:val="24"/>
          <w:lang w:val="en-US" w:eastAsia="zh-CN"/>
        </w:rPr>
        <w:t>：</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0" w:firstLineChars="200"/>
        <w:textAlignment w:val="auto"/>
        <w:rPr>
          <w:rFonts w:hint="default" w:ascii="Times New Roman" w:hAnsi="Times New Roman" w:eastAsia="宋体"/>
          <w:b w:val="0"/>
          <w:bCs/>
          <w:color w:val="auto"/>
          <w:sz w:val="24"/>
          <w:szCs w:val="24"/>
          <w:lang w:val="en-US" w:eastAsia="zh-CN"/>
        </w:rPr>
      </w:pPr>
      <w:r>
        <w:rPr>
          <w:rFonts w:ascii="宋体" w:hAnsi="宋体" w:eastAsia="宋体" w:cs="宋体"/>
          <w:b w:val="0"/>
          <w:bCs/>
          <w:color w:val="auto"/>
          <w:sz w:val="24"/>
          <w:szCs w:val="24"/>
        </w:rPr>
        <w:t>报名商家以国内月均吞吐量231.7万人次/月为标准进行</w:t>
      </w:r>
      <w:r>
        <w:rPr>
          <w:rFonts w:hint="eastAsia" w:cs="宋体"/>
          <w:b w:val="0"/>
          <w:bCs/>
          <w:color w:val="auto"/>
          <w:sz w:val="24"/>
          <w:szCs w:val="24"/>
          <w:lang w:eastAsia="zh-CN"/>
        </w:rPr>
        <w:t>保底经营费用</w:t>
      </w:r>
      <w:r>
        <w:rPr>
          <w:rFonts w:ascii="宋体" w:hAnsi="宋体" w:eastAsia="宋体" w:cs="宋体"/>
          <w:b w:val="0"/>
          <w:bCs/>
          <w:color w:val="auto"/>
          <w:sz w:val="24"/>
          <w:szCs w:val="24"/>
        </w:rPr>
        <w:t>报价，合同期内各月保底</w:t>
      </w:r>
      <w:r>
        <w:rPr>
          <w:rFonts w:hint="eastAsia" w:cs="宋体"/>
          <w:b w:val="0"/>
          <w:bCs/>
          <w:color w:val="auto"/>
          <w:sz w:val="24"/>
          <w:szCs w:val="24"/>
          <w:lang w:eastAsia="zh-CN"/>
        </w:rPr>
        <w:t>经营费用</w:t>
      </w:r>
      <w:r>
        <w:rPr>
          <w:rFonts w:ascii="宋体" w:hAnsi="宋体" w:eastAsia="宋体" w:cs="宋体"/>
          <w:b w:val="0"/>
          <w:bCs/>
          <w:color w:val="auto"/>
          <w:sz w:val="24"/>
          <w:szCs w:val="24"/>
        </w:rPr>
        <w:t>按照当月吞吐量与231.7万人次之间的差异进行相应程度联动。</w:t>
      </w:r>
      <w:r>
        <w:rPr>
          <w:rFonts w:hint="eastAsia" w:ascii="Times New Roman" w:hAnsi="Times New Roman"/>
          <w:b w:val="0"/>
          <w:bCs/>
          <w:color w:val="auto"/>
          <w:sz w:val="24"/>
          <w:szCs w:val="24"/>
          <w:lang w:val="en-US" w:eastAsia="zh-CN"/>
        </w:rPr>
        <w:t xml:space="preserve">  </w:t>
      </w:r>
    </w:p>
    <w:tbl>
      <w:tblPr>
        <w:tblStyle w:val="5"/>
        <w:tblpPr w:leftFromText="180" w:rightFromText="180" w:vertAnchor="text" w:horzAnchor="page" w:tblpX="1712" w:tblpY="32"/>
        <w:tblOverlap w:val="never"/>
        <w:tblW w:w="8465" w:type="dxa"/>
        <w:tblInd w:w="0" w:type="dxa"/>
        <w:tblLayout w:type="fixed"/>
        <w:tblCellMar>
          <w:top w:w="0" w:type="dxa"/>
          <w:left w:w="0" w:type="dxa"/>
          <w:bottom w:w="0" w:type="dxa"/>
          <w:right w:w="0" w:type="dxa"/>
        </w:tblCellMar>
      </w:tblPr>
      <w:tblGrid>
        <w:gridCol w:w="2433"/>
        <w:gridCol w:w="1382"/>
        <w:gridCol w:w="4650"/>
      </w:tblGrid>
      <w:tr>
        <w:tblPrEx>
          <w:tblCellMar>
            <w:top w:w="0" w:type="dxa"/>
            <w:left w:w="0" w:type="dxa"/>
            <w:bottom w:w="0" w:type="dxa"/>
            <w:right w:w="0" w:type="dxa"/>
          </w:tblCellMar>
        </w:tblPrEx>
        <w:trPr>
          <w:trHeight w:val="397" w:hRule="atLeast"/>
        </w:trPr>
        <w:tc>
          <w:tcPr>
            <w:tcW w:w="2433" w:type="dxa"/>
            <w:tcBorders>
              <w:top w:val="single" w:color="000000" w:sz="4" w:space="0"/>
              <w:left w:val="single" w:color="000000" w:sz="4" w:space="0"/>
              <w:bottom w:val="single" w:color="000000" w:sz="4" w:space="0"/>
              <w:right w:val="single" w:color="000000" w:sz="4" w:space="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吞吐量较231.7万人次/月变动</w:t>
            </w:r>
            <w:r>
              <w:rPr>
                <w:rFonts w:hint="eastAsia" w:ascii="宋体" w:hAnsi="宋体" w:eastAsia="宋体" w:cs="宋体"/>
                <w:b w:val="0"/>
                <w:bCs w:val="0"/>
                <w:i w:val="0"/>
                <w:color w:val="000000"/>
                <w:kern w:val="0"/>
                <w:sz w:val="20"/>
                <w:szCs w:val="20"/>
                <w:u w:val="none"/>
                <w:lang w:val="en-US" w:eastAsia="zh-CN" w:bidi="ar"/>
              </w:rPr>
              <w:t>（X）</w:t>
            </w:r>
          </w:p>
        </w:tc>
        <w:tc>
          <w:tcPr>
            <w:tcW w:w="1382" w:type="dxa"/>
            <w:tcBorders>
              <w:top w:val="single" w:color="000000" w:sz="4" w:space="0"/>
              <w:left w:val="single" w:color="000000" w:sz="4" w:space="0"/>
              <w:bottom w:val="single" w:color="000000" w:sz="4" w:space="0"/>
              <w:right w:val="single" w:color="000000" w:sz="4" w:space="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月保底经营费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用联动比例</w:t>
            </w:r>
          </w:p>
        </w:tc>
        <w:tc>
          <w:tcPr>
            <w:tcW w:w="4650" w:type="dxa"/>
            <w:tcBorders>
              <w:top w:val="single" w:color="000000" w:sz="4" w:space="0"/>
              <w:left w:val="single" w:color="000000" w:sz="4" w:space="0"/>
              <w:bottom w:val="single" w:color="000000" w:sz="4" w:space="0"/>
              <w:right w:val="single" w:color="000000" w:sz="4" w:space="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调整公式</w:t>
            </w:r>
          </w:p>
        </w:tc>
      </w:tr>
      <w:tr>
        <w:tblPrEx>
          <w:tblCellMar>
            <w:top w:w="0" w:type="dxa"/>
            <w:left w:w="0" w:type="dxa"/>
            <w:bottom w:w="0" w:type="dxa"/>
            <w:right w:w="0" w:type="dxa"/>
          </w:tblCellMar>
        </w:tblPrEx>
        <w:trPr>
          <w:trHeight w:val="594" w:hRule="atLeast"/>
        </w:trPr>
        <w:tc>
          <w:tcPr>
            <w:tcW w:w="24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X≥0%</w:t>
            </w:r>
          </w:p>
        </w:tc>
        <w:tc>
          <w:tcPr>
            <w:tcW w:w="1382" w:type="dxa"/>
            <w:vMerge w:val="restart"/>
            <w:tcBorders>
              <w:top w:val="single" w:color="000000" w:sz="4" w:space="0"/>
              <w:left w:val="single" w:color="000000" w:sz="4" w:space="0"/>
              <w:right w:val="single" w:color="000000" w:sz="4" w:space="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650" w:type="dxa"/>
            <w:vMerge w:val="restart"/>
            <w:tcBorders>
              <w:top w:val="single" w:color="000000" w:sz="4" w:space="0"/>
              <w:left w:val="single" w:color="000000" w:sz="4" w:space="0"/>
              <w:right w:val="single" w:color="000000" w:sz="4" w:space="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1"/>
                <w:szCs w:val="21"/>
                <w:highlight w:val="none"/>
              </w:rPr>
              <w:t>当月实际保底经营费用=月保底经营费用单价*实测面积*[1+（当月</w:t>
            </w:r>
            <w:r>
              <w:rPr>
                <w:rFonts w:hint="eastAsia" w:ascii="宋体" w:hAnsi="宋体" w:eastAsia="宋体" w:cs="宋体"/>
                <w:sz w:val="21"/>
                <w:szCs w:val="21"/>
                <w:highlight w:val="none"/>
                <w:lang w:val="en-US" w:eastAsia="zh-CN"/>
              </w:rPr>
              <w:t>国内</w:t>
            </w:r>
            <w:r>
              <w:rPr>
                <w:rFonts w:hint="eastAsia" w:ascii="宋体" w:hAnsi="宋体" w:eastAsia="宋体" w:cs="宋体"/>
                <w:sz w:val="21"/>
                <w:szCs w:val="21"/>
                <w:highlight w:val="none"/>
              </w:rPr>
              <w:t>实际旅客吞吐量-</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 *50%]。</w:t>
            </w:r>
          </w:p>
        </w:tc>
      </w:tr>
      <w:tr>
        <w:tblPrEx>
          <w:tblCellMar>
            <w:top w:w="0" w:type="dxa"/>
            <w:left w:w="0" w:type="dxa"/>
            <w:bottom w:w="0" w:type="dxa"/>
            <w:right w:w="0" w:type="dxa"/>
          </w:tblCellMar>
        </w:tblPrEx>
        <w:trPr>
          <w:trHeight w:val="697" w:hRule="atLeast"/>
        </w:trPr>
        <w:tc>
          <w:tcPr>
            <w:tcW w:w="24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r>
              <w:rPr>
                <w:rFonts w:hint="eastAsia" w:ascii="宋体" w:hAnsi="宋体" w:eastAsia="宋体" w:cs="宋体"/>
                <w:i w:val="0"/>
                <w:color w:val="000000"/>
                <w:sz w:val="20"/>
                <w:szCs w:val="20"/>
                <w:u w:val="none"/>
                <w:lang w:val="en-US" w:eastAsia="zh-CN"/>
              </w:rPr>
              <w:t xml:space="preserve">0% </w:t>
            </w:r>
            <w:r>
              <w:rPr>
                <w:rFonts w:hint="eastAsia" w:ascii="宋体" w:hAnsi="宋体" w:cs="宋体"/>
                <w:i w:val="0"/>
                <w:color w:val="000000"/>
                <w:sz w:val="20"/>
                <w:szCs w:val="20"/>
                <w:u w:val="none"/>
                <w:lang w:val="en-US" w:eastAsia="zh-CN"/>
              </w:rPr>
              <w:t>＜</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sz w:val="20"/>
                <w:szCs w:val="20"/>
                <w:u w:val="none"/>
                <w:lang w:val="en-US" w:eastAsia="zh-CN"/>
              </w:rPr>
              <w:t xml:space="preserve">X </w:t>
            </w:r>
            <w:r>
              <w:rPr>
                <w:rFonts w:hint="eastAsia" w:ascii="宋体" w:hAnsi="宋体" w:cs="宋体"/>
                <w:i w:val="0"/>
                <w:color w:val="000000"/>
                <w:sz w:val="20"/>
                <w:szCs w:val="20"/>
                <w:u w:val="none"/>
                <w:lang w:val="en-US" w:eastAsia="zh-CN"/>
              </w:rPr>
              <w:t>＜</w:t>
            </w:r>
            <w:r>
              <w:rPr>
                <w:rFonts w:hint="eastAsia" w:ascii="宋体" w:hAnsi="宋体" w:eastAsia="宋体" w:cs="宋体"/>
                <w:i w:val="0"/>
                <w:color w:val="000000"/>
                <w:sz w:val="20"/>
                <w:szCs w:val="20"/>
                <w:u w:val="none"/>
                <w:lang w:val="en-US" w:eastAsia="zh-CN"/>
              </w:rPr>
              <w:t xml:space="preserve"> 0%</w:t>
            </w:r>
          </w:p>
        </w:tc>
        <w:tc>
          <w:tcPr>
            <w:tcW w:w="1382" w:type="dxa"/>
            <w:vMerge w:val="continue"/>
            <w:tcBorders>
              <w:left w:val="single" w:color="000000" w:sz="4" w:space="0"/>
              <w:bottom w:val="single" w:color="000000" w:sz="4" w:space="0"/>
              <w:right w:val="single" w:color="000000" w:sz="4" w:space="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p>
        </w:tc>
        <w:tc>
          <w:tcPr>
            <w:tcW w:w="4650" w:type="dxa"/>
            <w:vMerge w:val="continue"/>
            <w:tcBorders>
              <w:left w:val="single" w:color="000000" w:sz="4" w:space="0"/>
              <w:bottom w:val="single" w:color="000000" w:sz="4" w:space="0"/>
              <w:right w:val="single" w:color="000000" w:sz="4" w:space="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1147" w:hRule="atLeast"/>
        </w:trPr>
        <w:tc>
          <w:tcPr>
            <w:tcW w:w="24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X≤</w:t>
            </w:r>
            <w:r>
              <w:rPr>
                <w:rFonts w:hint="eastAsia" w:ascii="宋体" w:hAnsi="宋体" w:eastAsia="宋体" w:cs="宋体"/>
                <w:i w:val="0"/>
                <w:color w:val="000000"/>
                <w:kern w:val="0"/>
                <w:sz w:val="20"/>
                <w:szCs w:val="20"/>
                <w:u w:val="none"/>
                <w:lang w:val="en-US" w:eastAsia="zh-CN" w:bidi="ar"/>
              </w:rPr>
              <w:t xml:space="preserve">-20% </w:t>
            </w:r>
          </w:p>
        </w:tc>
        <w:tc>
          <w:tcPr>
            <w:tcW w:w="1382"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c>
          <w:tcPr>
            <w:tcW w:w="4650"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sz w:val="21"/>
                <w:szCs w:val="21"/>
                <w:highlight w:val="none"/>
              </w:rPr>
              <w:t>当月实际保底经营费用=月保底经营费用单价*实测面积*[1+（当月</w:t>
            </w:r>
            <w:r>
              <w:rPr>
                <w:rFonts w:hint="eastAsia" w:ascii="宋体" w:hAnsi="宋体" w:eastAsia="宋体" w:cs="宋体"/>
                <w:sz w:val="21"/>
                <w:szCs w:val="21"/>
                <w:highlight w:val="none"/>
                <w:lang w:val="en-US" w:eastAsia="zh-CN"/>
              </w:rPr>
              <w:t>国内</w:t>
            </w:r>
            <w:r>
              <w:rPr>
                <w:rFonts w:hint="eastAsia" w:ascii="宋体" w:hAnsi="宋体" w:eastAsia="宋体" w:cs="宋体"/>
                <w:sz w:val="21"/>
                <w:szCs w:val="21"/>
                <w:highlight w:val="none"/>
              </w:rPr>
              <w:t>实际旅客吞吐量-</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 ]。</w:t>
            </w:r>
          </w:p>
        </w:tc>
      </w:tr>
      <w:bookmarkEnd w:id="0"/>
    </w:tbl>
    <w:p>
      <w:pPr>
        <w:numPr>
          <w:ilvl w:val="0"/>
          <w:numId w:val="0"/>
        </w:numPr>
        <w:jc w:val="both"/>
        <w:rPr>
          <w:rFonts w:hint="eastAsia"/>
          <w:lang w:val="en-US" w:eastAsia="zh-CN"/>
        </w:rPr>
      </w:pPr>
      <w:r>
        <w:rPr>
          <w:rFonts w:hint="eastAsia" w:ascii="仿宋" w:hAnsi="仿宋" w:eastAsia="仿宋" w:cs="仿宋"/>
          <w:b w:val="0"/>
          <w:bCs w:val="0"/>
          <w:sz w:val="24"/>
          <w:szCs w:val="24"/>
          <w:lang w:val="en-US" w:eastAsia="zh-CN"/>
        </w:rPr>
        <w:t>备注：自助设备实测面积为台数。</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2" w:firstLineChars="20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示例：</w:t>
      </w:r>
      <w:r>
        <w:rPr>
          <w:rFonts w:hint="eastAsia" w:cs="宋体"/>
          <w:b/>
          <w:bCs w:val="0"/>
          <w:color w:val="auto"/>
          <w:sz w:val="24"/>
          <w:szCs w:val="24"/>
          <w:lang w:val="en-US" w:eastAsia="zh-CN"/>
        </w:rPr>
        <w:t>假设商家报价为1000元/㎡/月，</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2" w:firstLineChars="200"/>
        <w:textAlignment w:val="auto"/>
        <w:rPr>
          <w:rFonts w:hint="eastAsia" w:cs="宋体"/>
          <w:b/>
          <w:bCs w:val="0"/>
          <w:color w:val="auto"/>
          <w:sz w:val="24"/>
          <w:szCs w:val="24"/>
          <w:lang w:val="en-US" w:eastAsia="zh-CN"/>
        </w:rPr>
      </w:pPr>
      <w:r>
        <w:rPr>
          <w:rFonts w:hint="eastAsia" w:cs="宋体"/>
          <w:b/>
          <w:bCs w:val="0"/>
          <w:color w:val="auto"/>
          <w:sz w:val="24"/>
          <w:szCs w:val="24"/>
          <w:lang w:val="en-US" w:eastAsia="zh-CN"/>
        </w:rPr>
        <w:t>若当月T2候机楼实际吞吐量为380万人次，则商家需支付的实际保底租金单价为：1000*[1+（380-231.7）/231.7 *50%]=1320.03元。</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2" w:firstLineChars="200"/>
        <w:textAlignment w:val="auto"/>
        <w:rPr>
          <w:rFonts w:hint="eastAsia" w:cs="宋体"/>
          <w:b/>
          <w:bCs w:val="0"/>
          <w:color w:val="auto"/>
          <w:sz w:val="24"/>
          <w:szCs w:val="24"/>
          <w:lang w:val="en-US" w:eastAsia="zh-CN"/>
        </w:rPr>
      </w:pPr>
      <w:r>
        <w:rPr>
          <w:rFonts w:hint="eastAsia" w:cs="宋体"/>
          <w:b/>
          <w:bCs w:val="0"/>
          <w:color w:val="auto"/>
          <w:sz w:val="24"/>
          <w:szCs w:val="24"/>
          <w:lang w:val="en-US" w:eastAsia="zh-CN"/>
        </w:rPr>
        <w:t>若当月T2候机楼实际吞吐量为160万人次，则商家需支付的实际保底租金单价为：1000*[1+（160-231.7）/231.7]=690.55元。</w:t>
      </w:r>
    </w:p>
    <w:p>
      <w:pPr>
        <w:numPr>
          <w:ilvl w:val="0"/>
          <w:numId w:val="0"/>
        </w:numPr>
        <w:spacing w:beforeAutospacing="0" w:afterAutospacing="0" w:line="360" w:lineRule="auto"/>
        <w:ind w:left="0" w:leftChars="0" w:firstLine="549" w:firstLineChars="228"/>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此外，为确保租金水平调整比例切实符合转场时期候机楼内各区域客流情况，若各区域吞吐量差异较大，可视情况按指廊分区域联动。</w:t>
      </w:r>
    </w:p>
    <w:p>
      <w:pPr>
        <w:pStyle w:val="2"/>
      </w:pPr>
    </w:p>
    <w:sectPr>
      <w:pgSz w:w="11906" w:h="16838"/>
      <w:pgMar w:top="1440" w:right="1800" w:bottom="4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C9A975"/>
    <w:multiLevelType w:val="singleLevel"/>
    <w:tmpl w:val="E9C9A975"/>
    <w:lvl w:ilvl="0" w:tentative="0">
      <w:start w:val="1"/>
      <w:numFmt w:val="decimal"/>
      <w:lvlText w:val="%1."/>
      <w:lvlJc w:val="left"/>
      <w:pPr>
        <w:ind w:left="425" w:hanging="425"/>
      </w:pPr>
      <w:rPr>
        <w:rFonts w:hint="default"/>
      </w:rPr>
    </w:lvl>
  </w:abstractNum>
  <w:abstractNum w:abstractNumId="1">
    <w:nsid w:val="FA24307A"/>
    <w:multiLevelType w:val="singleLevel"/>
    <w:tmpl w:val="FA24307A"/>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47EF1"/>
    <w:rsid w:val="010F6120"/>
    <w:rsid w:val="031A6711"/>
    <w:rsid w:val="060378C7"/>
    <w:rsid w:val="072A4532"/>
    <w:rsid w:val="082A4C64"/>
    <w:rsid w:val="09150F24"/>
    <w:rsid w:val="0AFA1BDE"/>
    <w:rsid w:val="0B8943A7"/>
    <w:rsid w:val="0F732C3F"/>
    <w:rsid w:val="13DF3D35"/>
    <w:rsid w:val="14A42E1A"/>
    <w:rsid w:val="158F3C1D"/>
    <w:rsid w:val="18A7794E"/>
    <w:rsid w:val="1C630EE2"/>
    <w:rsid w:val="22BA5C84"/>
    <w:rsid w:val="23655A79"/>
    <w:rsid w:val="29B2071A"/>
    <w:rsid w:val="2F0D3495"/>
    <w:rsid w:val="312200C1"/>
    <w:rsid w:val="33F61E04"/>
    <w:rsid w:val="363157D9"/>
    <w:rsid w:val="3ABD6C3E"/>
    <w:rsid w:val="42D01D57"/>
    <w:rsid w:val="46F47EF1"/>
    <w:rsid w:val="503A66C2"/>
    <w:rsid w:val="52575A21"/>
    <w:rsid w:val="59E71541"/>
    <w:rsid w:val="63CD3B6F"/>
    <w:rsid w:val="6AF27218"/>
    <w:rsid w:val="73F96EEE"/>
    <w:rsid w:val="786940ED"/>
    <w:rsid w:val="793401EC"/>
    <w:rsid w:val="79EB1BB0"/>
    <w:rsid w:val="7CE2327D"/>
    <w:rsid w:val="7D73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widowControl/>
      <w:adjustRightInd w:val="0"/>
      <w:spacing w:line="420" w:lineRule="atLeast"/>
      <w:jc w:val="left"/>
      <w:textAlignment w:val="baseline"/>
    </w:pPr>
    <w:rPr>
      <w:rFonts w:ascii="Times New Roman" w:hAnsi="Times New Roman"/>
      <w:kern w:val="0"/>
      <w:sz w:val="24"/>
      <w:szCs w:val="20"/>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
    <w:name w:val="Title"/>
    <w:basedOn w:val="1"/>
    <w:next w:val="1"/>
    <w:qFormat/>
    <w:uiPriority w:val="0"/>
    <w:pPr>
      <w:spacing w:before="240" w:after="60"/>
      <w:jc w:val="center"/>
      <w:outlineLvl w:val="0"/>
    </w:pPr>
    <w:rPr>
      <w:rFonts w:ascii="Calibri Light" w:hAnsi="Calibri Light"/>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2019-01-11T08:59:00Z</dcterms:created>
  <dc:creator>股份商贸</dc:creator>
  <cp:lastModifiedBy> jane</cp:lastModifiedBy>
  <dcterms:modified xsi:type="dcterms:W3CDTF">2021-04-27T07:26:14Z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