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pacing w:line="276" w:lineRule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pStyle w:val="5"/>
        <w:numPr>
          <w:ilvl w:val="0"/>
          <w:numId w:val="0"/>
        </w:num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竞争性谈判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资料</w:t>
      </w:r>
    </w:p>
    <w:p>
      <w:pPr>
        <w:pStyle w:val="5"/>
        <w:numPr>
          <w:ilvl w:val="0"/>
          <w:numId w:val="0"/>
        </w:numPr>
        <w:spacing w:line="276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spacing w:line="276" w:lineRule="auto"/>
        <w:ind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一、财务报表 （必须是合同主体单位，分公司可用总公司资料参评，子公司不可用母公司资料参评）：</w:t>
      </w:r>
    </w:p>
    <w:p>
      <w:pPr>
        <w:pStyle w:val="5"/>
        <w:numPr>
          <w:ilvl w:val="0"/>
          <w:numId w:val="0"/>
        </w:numPr>
        <w:spacing w:line="276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1年度（含）至今的资产负债表、</w:t>
      </w:r>
      <w:r>
        <w:rPr>
          <w:rFonts w:hint="eastAsia" w:ascii="仿宋_GB2312" w:hAnsi="仿宋_GB2312" w:eastAsia="仿宋_GB2312" w:cs="仿宋_GB2312"/>
          <w:sz w:val="32"/>
          <w:szCs w:val="32"/>
        </w:rPr>
        <w:t>利润表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现金流量表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5"/>
        <w:numPr>
          <w:ilvl w:val="0"/>
          <w:numId w:val="0"/>
        </w:numPr>
        <w:spacing w:line="276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二、经营方案：</w:t>
      </w:r>
    </w:p>
    <w:p>
      <w:pPr>
        <w:pStyle w:val="5"/>
        <w:numPr>
          <w:ilvl w:val="0"/>
          <w:numId w:val="0"/>
        </w:numPr>
        <w:spacing w:line="276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该项目的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合作方案及报价：需包含分成比例和保证金。</w:t>
      </w:r>
    </w:p>
    <w:p>
      <w:pPr>
        <w:pStyle w:val="5"/>
        <w:numPr>
          <w:ilvl w:val="0"/>
          <w:numId w:val="0"/>
        </w:numPr>
        <w:spacing w:line="276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效果图。</w:t>
      </w:r>
    </w:p>
    <w:p>
      <w:pPr>
        <w:pStyle w:val="5"/>
        <w:numPr>
          <w:ilvl w:val="0"/>
          <w:numId w:val="0"/>
        </w:numPr>
        <w:spacing w:line="276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管理制度。</w:t>
      </w:r>
    </w:p>
    <w:p>
      <w:pPr>
        <w:pStyle w:val="5"/>
        <w:numPr>
          <w:ilvl w:val="0"/>
          <w:numId w:val="0"/>
        </w:numPr>
        <w:spacing w:line="276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设备设施维修制度。</w:t>
      </w:r>
    </w:p>
    <w:p>
      <w:pPr>
        <w:pStyle w:val="5"/>
        <w:numPr>
          <w:ilvl w:val="0"/>
          <w:numId w:val="0"/>
        </w:numPr>
        <w:spacing w:line="276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（五）设备缺货率管理制度。</w:t>
      </w:r>
    </w:p>
    <w:p>
      <w:pPr>
        <w:pStyle w:val="5"/>
        <w:numPr>
          <w:ilvl w:val="0"/>
          <w:numId w:val="0"/>
        </w:numPr>
        <w:spacing w:line="276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（六）日常管理制度（含投诉处理制度）。</w:t>
      </w:r>
    </w:p>
    <w:p>
      <w:pPr>
        <w:pStyle w:val="5"/>
        <w:numPr>
          <w:ilvl w:val="0"/>
          <w:numId w:val="0"/>
        </w:numPr>
        <w:spacing w:line="276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（七）故障排除应急制度。</w:t>
      </w:r>
    </w:p>
    <w:p>
      <w:pPr>
        <w:pStyle w:val="5"/>
        <w:numPr>
          <w:ilvl w:val="0"/>
          <w:numId w:val="0"/>
        </w:numPr>
        <w:spacing w:line="276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（八）其他。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C598BA-4C56-4253-91A3-4322E236DB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C988D2-236B-4F27-B461-02A3891B5D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87C2BFF-908B-45BA-B934-240A983224B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74A8EF1-A1E9-48FD-BE45-E5D6EC184C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97F1B"/>
    <w:rsid w:val="38BF70AB"/>
    <w:rsid w:val="48FD3991"/>
    <w:rsid w:val="60B9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2022-01-17T08:18:00Z</dcterms:created>
  <dc:creator>XHJ</dc:creator>
  <cp:lastModifiedBy>XHJ</cp:lastModifiedBy>
  <dcterms:modified xsi:type="dcterms:W3CDTF">2022-01-17T08:59:31Z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