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pStyle w:val="Title"/>
        <w:jc w:val="both"/>
        <w:rPr>
          <w:rFonts w:ascii="宋体" w:hAnsi="宋体"/>
          <w:sz w:val="24"/>
          <w:szCs w:val="24"/>
        </w:rPr>
      </w:pPr>
      <w:r>
        <w:rPr>
          <w:rFonts w:ascii="宋体" w:hAnsi="宋体" w:hint="eastAsia"/>
          <w:sz w:val="24"/>
          <w:szCs w:val="24"/>
        </w:rPr>
        <w:t>附件</w:t>
      </w:r>
      <w:r>
        <w:rPr>
          <w:rFonts w:ascii="宋体" w:hAnsi="宋体" w:hint="eastAsia"/>
          <w:sz w:val="24"/>
          <w:szCs w:val="24"/>
          <w:lang w:val="en-US" w:eastAsia="zh-CN"/>
        </w:rPr>
        <w:t>2-2</w:t>
      </w:r>
      <w:r>
        <w:rPr>
          <w:rFonts w:ascii="宋体" w:hAnsi="宋体" w:hint="eastAsia"/>
          <w:sz w:val="24"/>
          <w:szCs w:val="24"/>
        </w:rPr>
        <w:t>：</w:t>
      </w:r>
    </w:p>
    <w:p>
      <w:pPr>
        <w:spacing w:line="720" w:lineRule="auto"/>
        <w:jc w:val="center"/>
        <w:rPr>
          <w:rFonts w:ascii="宋体" w:hAnsi="宋体"/>
          <w:b/>
          <w:bCs/>
          <w:sz w:val="24"/>
          <w:szCs w:val="24"/>
        </w:rPr>
      </w:pPr>
      <w:bookmarkStart w:id="0" w:name="_GoBack"/>
      <w:bookmarkEnd w:id="0"/>
      <w:r>
        <w:rPr>
          <w:rFonts w:ascii="宋体" w:hAnsi="宋体" w:cs="宋体" w:hint="eastAsia"/>
          <w:b/>
          <w:bCs/>
          <w:kern w:val="0"/>
          <w:sz w:val="32"/>
          <w:szCs w:val="32"/>
          <w:lang w:eastAsia="zh-CN"/>
        </w:rPr>
        <w:t>复合业态</w:t>
      </w:r>
      <w:r>
        <w:rPr>
          <w:rFonts w:ascii="宋体" w:hAnsi="宋体" w:cs="宋体" w:hint="eastAsia"/>
          <w:b/>
          <w:bCs/>
          <w:kern w:val="0"/>
          <w:sz w:val="32"/>
          <w:szCs w:val="32"/>
        </w:rPr>
        <w:t>报价单</w:t>
      </w:r>
    </w:p>
    <w:p>
      <w:pPr>
        <w:spacing w:line="600" w:lineRule="auto"/>
        <w:ind w:left="-4536" w:firstLine="4554"/>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rPr>
        <w:t>公司名称:</w:t>
      </w:r>
      <w:r>
        <w:rPr>
          <w:rFonts w:asciiTheme="minorEastAsia" w:eastAsiaTheme="minorEastAsia" w:hAnsiTheme="minorEastAsia" w:cstheme="minorEastAsia" w:hint="eastAsia"/>
          <w:b/>
          <w:sz w:val="24"/>
          <w:szCs w:val="24"/>
          <w:u w:val="single"/>
        </w:rPr>
        <w:t xml:space="preserve">                        </w:t>
      </w:r>
    </w:p>
    <w:p>
      <w:pPr>
        <w:spacing w:line="600" w:lineRule="auto"/>
        <w:rPr>
          <w:rFonts w:asciiTheme="minorEastAsia" w:eastAsiaTheme="minorEastAsia" w:hAnsiTheme="minorEastAsia" w:cstheme="minorEastAsia" w:hint="eastAsia"/>
          <w:b/>
          <w:sz w:val="24"/>
          <w:szCs w:val="24"/>
          <w:u w:val="none"/>
          <w:lang w:val="en-US" w:eastAsia="zh-CN"/>
        </w:rPr>
      </w:pPr>
      <w:r>
        <w:rPr>
          <w:rFonts w:asciiTheme="minorEastAsia" w:eastAsiaTheme="minorEastAsia" w:hAnsiTheme="minorEastAsia" w:cstheme="minorEastAsia" w:hint="eastAsia"/>
          <w:b/>
          <w:sz w:val="24"/>
          <w:szCs w:val="24"/>
          <w:lang w:eastAsia="zh-CN"/>
        </w:rPr>
        <w:t>标段</w:t>
      </w:r>
      <w:r>
        <w:rPr>
          <w:rFonts w:asciiTheme="minorEastAsia" w:eastAsiaTheme="minorEastAsia" w:hAnsiTheme="minorEastAsia" w:cstheme="minorEastAsia" w:hint="eastAsia"/>
          <w:b/>
          <w:sz w:val="24"/>
          <w:szCs w:val="24"/>
        </w:rPr>
        <w:t>编号或项目名称:</w:t>
      </w:r>
      <w:r>
        <w:rPr>
          <w:rFonts w:asciiTheme="minorEastAsia" w:eastAsiaTheme="minorEastAsia" w:hAnsiTheme="minorEastAsia" w:cstheme="minorEastAsia" w:hint="eastAsia"/>
          <w:b/>
          <w:sz w:val="24"/>
          <w:szCs w:val="24"/>
          <w:u w:val="single"/>
        </w:rPr>
        <w:t xml:space="preserve">            </w:t>
      </w:r>
    </w:p>
    <w:p>
      <w:pPr>
        <w:numPr>
          <w:ilvl w:val="0"/>
          <w:numId w:val="0"/>
        </w:numPr>
        <w:spacing w:line="480" w:lineRule="auto"/>
        <w:ind w:firstLine="723"/>
        <w:rPr>
          <w:rFonts w:asciiTheme="minorEastAsia" w:eastAsiaTheme="minorEastAsia" w:hAnsiTheme="minorEastAsia" w:cstheme="minorEastAsia" w:hint="eastAsia"/>
          <w:b/>
          <w:sz w:val="24"/>
          <w:szCs w:val="24"/>
          <w:u w:val="single"/>
          <w:lang w:eastAsia="zh-CN"/>
        </w:rPr>
      </w:pPr>
      <w:r>
        <w:rPr>
          <w:rFonts w:asciiTheme="minorEastAsia" w:eastAsiaTheme="minorEastAsia" w:hAnsiTheme="minorEastAsia" w:cstheme="minorEastAsia" w:hint="eastAsia"/>
          <w:b/>
          <w:sz w:val="24"/>
          <w:szCs w:val="24"/>
        </w:rPr>
        <w:t>报价：保底</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rPr>
        <w:t>元/平米/月，销售额提成率</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p>
    <w:p>
      <w:pPr>
        <w:spacing w:line="720" w:lineRule="auto"/>
        <w:rPr>
          <w:rFonts w:asciiTheme="minorEastAsia" w:eastAsiaTheme="minorEastAsia" w:hAnsiTheme="minorEastAsia" w:cstheme="minorEastAsia" w:hint="eastAsia"/>
          <w:b/>
          <w:sz w:val="24"/>
          <w:szCs w:val="24"/>
          <w:u w:val="none"/>
          <w:lang w:val="en-US" w:eastAsia="zh-CN"/>
        </w:rPr>
      </w:pPr>
      <w:r>
        <w:rPr>
          <w:rFonts w:asciiTheme="minorEastAsia" w:eastAsiaTheme="minorEastAsia" w:hAnsiTheme="minorEastAsia" w:cstheme="minorEastAsia" w:hint="eastAsia"/>
          <w:b/>
          <w:sz w:val="24"/>
          <w:szCs w:val="24"/>
          <w:u w:val="none"/>
          <w:lang w:val="en-US" w:eastAsia="zh-CN"/>
        </w:rPr>
        <w:t>业态及面积：</w:t>
      </w:r>
    </w:p>
    <w:p>
      <w:pPr>
        <w:spacing w:line="600" w:lineRule="auto"/>
        <w:rPr>
          <w:rFonts w:asciiTheme="minorEastAsia" w:eastAsiaTheme="minorEastAsia" w:hAnsiTheme="minorEastAsia" w:cstheme="minorEastAsia" w:hint="eastAsia"/>
          <w:b/>
          <w:sz w:val="24"/>
          <w:szCs w:val="24"/>
          <w:u w:val="none"/>
          <w:lang w:eastAsia="zh-CN"/>
        </w:rPr>
      </w:pPr>
      <w:r>
        <w:rPr>
          <w:rFonts w:asciiTheme="minorEastAsia" w:eastAsiaTheme="minorEastAsia" w:hAnsiTheme="minorEastAsia" w:cstheme="minorEastAsia" w:hint="eastAsia"/>
          <w:b/>
          <w:sz w:val="24"/>
          <w:szCs w:val="24"/>
          <w:u w:val="none"/>
          <w:lang w:val="en-US" w:eastAsia="zh-CN"/>
        </w:rPr>
        <w:t>业态1名称：</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，具体经营品牌或项目</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none"/>
          <w:lang w:val="en-US" w:eastAsia="zh-CN"/>
        </w:rPr>
        <w:t xml:space="preserve"> ，面积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val="en-US" w:eastAsia="zh-CN"/>
        </w:rPr>
        <w:t>㎡</w:t>
      </w:r>
      <w:r>
        <w:rPr>
          <w:rFonts w:asciiTheme="minorEastAsia" w:eastAsiaTheme="minorEastAsia" w:hAnsiTheme="minorEastAsia" w:cstheme="minorEastAsia" w:hint="eastAsia"/>
          <w:b/>
          <w:sz w:val="24"/>
          <w:szCs w:val="24"/>
          <w:u w:val="none"/>
          <w:lang w:eastAsia="zh-CN"/>
        </w:rPr>
        <w:t>；</w:t>
      </w:r>
    </w:p>
    <w:p>
      <w:pPr>
        <w:spacing w:line="600" w:lineRule="auto"/>
        <w:rPr>
          <w:rFonts w:asciiTheme="minorEastAsia" w:eastAsiaTheme="minorEastAsia" w:hAnsiTheme="minorEastAsia" w:cstheme="minorEastAsia" w:hint="eastAsia"/>
          <w:b/>
          <w:sz w:val="24"/>
          <w:szCs w:val="24"/>
          <w:u w:val="none"/>
          <w:lang w:eastAsia="zh-CN"/>
        </w:rPr>
      </w:pPr>
      <w:r>
        <w:rPr>
          <w:rFonts w:asciiTheme="minorEastAsia" w:eastAsiaTheme="minorEastAsia" w:hAnsiTheme="minorEastAsia" w:cstheme="minorEastAsia" w:hint="eastAsia"/>
          <w:b/>
          <w:sz w:val="24"/>
          <w:szCs w:val="24"/>
          <w:u w:val="none"/>
          <w:lang w:val="en-US" w:eastAsia="zh-CN"/>
        </w:rPr>
        <w:t>业态2名称：</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，具体经营品牌或项目</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none"/>
          <w:lang w:val="en-US" w:eastAsia="zh-CN"/>
        </w:rPr>
        <w:t xml:space="preserve"> ，面积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val="en-US" w:eastAsia="zh-CN"/>
        </w:rPr>
        <w:t>㎡</w:t>
      </w:r>
      <w:r>
        <w:rPr>
          <w:rFonts w:asciiTheme="minorEastAsia" w:eastAsiaTheme="minorEastAsia" w:hAnsiTheme="minorEastAsia" w:cstheme="minorEastAsia" w:hint="eastAsia"/>
          <w:b/>
          <w:sz w:val="24"/>
          <w:szCs w:val="24"/>
          <w:u w:val="none"/>
          <w:lang w:eastAsia="zh-CN"/>
        </w:rPr>
        <w:t>；</w:t>
      </w:r>
    </w:p>
    <w:p>
      <w:pPr>
        <w:spacing w:line="600" w:lineRule="auto"/>
        <w:rPr>
          <w:rFonts w:asciiTheme="minorEastAsia" w:eastAsiaTheme="minorEastAsia" w:hAnsiTheme="minorEastAsia" w:cstheme="minorEastAsia" w:hint="eastAsia"/>
          <w:b/>
          <w:sz w:val="24"/>
          <w:szCs w:val="24"/>
          <w:u w:val="none"/>
          <w:lang w:val="en-US" w:eastAsia="zh-CN"/>
        </w:rPr>
      </w:pPr>
      <w:r>
        <w:rPr>
          <w:rFonts w:asciiTheme="minorEastAsia" w:eastAsiaTheme="minorEastAsia" w:hAnsiTheme="minorEastAsia" w:cstheme="minorEastAsia" w:hint="eastAsia"/>
          <w:b/>
          <w:sz w:val="24"/>
          <w:szCs w:val="24"/>
          <w:u w:val="none"/>
          <w:lang w:val="en-US" w:eastAsia="zh-CN"/>
        </w:rPr>
        <w:t>业态3名称：</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，具体经营品牌或项目</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u w:val="none"/>
          <w:lang w:val="en-US" w:eastAsia="zh-CN"/>
        </w:rPr>
        <w:t xml:space="preserve"> ，面积</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val="en-US" w:eastAsia="zh-CN"/>
        </w:rPr>
        <w:t>㎡</w:t>
      </w:r>
      <w:r>
        <w:rPr>
          <w:rFonts w:asciiTheme="minorEastAsia" w:eastAsiaTheme="minorEastAsia" w:hAnsiTheme="minorEastAsia" w:cstheme="minorEastAsia" w:hint="eastAsia"/>
          <w:b/>
          <w:sz w:val="24"/>
          <w:szCs w:val="24"/>
          <w:u w:val="none"/>
          <w:lang w:eastAsia="zh-CN"/>
        </w:rPr>
        <w:t>。</w:t>
      </w:r>
    </w:p>
    <w:p>
      <w:pPr>
        <w:numPr>
          <w:ilvl w:val="0"/>
          <w:numId w:val="0"/>
        </w:numPr>
        <w:spacing w:line="360" w:lineRule="auto"/>
        <w:rPr>
          <w:rFonts w:ascii="宋体" w:hAnsi="宋体" w:hint="eastAsia"/>
          <w:b/>
          <w:bCs/>
          <w:color w:val="auto"/>
          <w:sz w:val="22"/>
          <w:szCs w:val="24"/>
          <w:lang w:val="en-US" w:eastAsia="zh-CN"/>
        </w:rPr>
      </w:pPr>
      <w:r>
        <w:rPr>
          <w:rFonts w:ascii="宋体" w:hAnsi="宋体" w:hint="eastAsia"/>
          <w:b/>
          <w:bCs/>
          <w:color w:val="auto"/>
          <w:sz w:val="22"/>
          <w:szCs w:val="24"/>
          <w:lang w:val="en-US" w:eastAsia="zh-CN"/>
        </w:rPr>
        <w:t>提示：</w:t>
      </w:r>
    </w:p>
    <w:p>
      <w:pPr>
        <w:numPr>
          <w:ilvl w:val="0"/>
          <w:numId w:val="0"/>
        </w:numPr>
        <w:spacing w:line="360" w:lineRule="auto"/>
        <w:rPr>
          <w:rFonts w:ascii="宋体" w:eastAsia="宋体" w:hAnsi="宋体"/>
          <w:color w:val="auto"/>
          <w:sz w:val="22"/>
          <w:szCs w:val="24"/>
        </w:rPr>
      </w:pPr>
      <w:r>
        <w:rPr>
          <w:rFonts w:ascii="宋体" w:hAnsi="宋体" w:cs="宋体" w:hint="eastAsia"/>
          <w:b w:val="0"/>
          <w:bCs w:val="0"/>
          <w:sz w:val="24"/>
          <w:szCs w:val="24"/>
          <w:highlight w:val="none"/>
          <w:lang w:val="en-US" w:eastAsia="zh-CN"/>
        </w:rPr>
        <w:t>（1）</w:t>
      </w:r>
      <w:r>
        <w:rPr>
          <w:rFonts w:ascii="宋体" w:eastAsia="宋体" w:hAnsi="宋体" w:cs="宋体" w:hint="eastAsia"/>
          <w:b/>
          <w:bCs/>
          <w:sz w:val="24"/>
          <w:szCs w:val="24"/>
          <w:highlight w:val="none"/>
          <w:lang w:val="en-US" w:eastAsia="zh-CN"/>
        </w:rPr>
        <w:t>DEP-R</w:t>
      </w:r>
      <w:r>
        <w:rPr>
          <w:rFonts w:ascii="宋体" w:hAnsi="宋体" w:cs="宋体" w:hint="eastAsia"/>
          <w:b/>
          <w:bCs/>
          <w:sz w:val="24"/>
          <w:szCs w:val="24"/>
          <w:highlight w:val="none"/>
          <w:lang w:val="en-US" w:eastAsia="zh-CN"/>
        </w:rPr>
        <w:t>-20E标段</w:t>
      </w:r>
      <w:r>
        <w:rPr>
          <w:rFonts w:ascii="宋体" w:hAnsi="宋体" w:hint="eastAsia"/>
          <w:color w:val="auto"/>
          <w:sz w:val="22"/>
          <w:szCs w:val="24"/>
          <w:lang w:val="en-US" w:eastAsia="zh-CN"/>
        </w:rPr>
        <w:t>业态名称为：品牌</w:t>
      </w:r>
      <w:r>
        <w:rPr>
          <w:rFonts w:cs="宋体" w:hint="eastAsia"/>
          <w:sz w:val="22"/>
          <w:szCs w:val="24"/>
          <w:lang w:eastAsia="zh-CN"/>
        </w:rPr>
        <w:t>百货、食品特产</w:t>
      </w:r>
      <w:r>
        <w:rPr>
          <w:rFonts w:cs="宋体" w:hint="eastAsia"/>
          <w:color w:val="FF0000"/>
          <w:sz w:val="22"/>
          <w:szCs w:val="24"/>
          <w:lang w:eastAsia="zh-CN"/>
        </w:rPr>
        <w:t>【</w:t>
      </w:r>
      <w:r>
        <w:rPr>
          <w:rFonts w:hint="eastAsia"/>
          <w:b/>
          <w:bCs/>
          <w:color w:val="FF0000"/>
          <w:shd w:val="clear" w:color="auto" w:fill="FFFFFF"/>
          <w:lang w:val="en-US" w:eastAsia="zh-CN"/>
        </w:rPr>
        <w:t>根据商业规划，该标段与烟草和茶叶专卖店相邻，因此不得销售烟草、茶叶</w:t>
      </w:r>
      <w:r>
        <w:rPr>
          <w:rFonts w:cs="宋体" w:hint="eastAsia"/>
          <w:color w:val="FF0000"/>
          <w:sz w:val="22"/>
          <w:szCs w:val="24"/>
          <w:lang w:eastAsia="zh-CN"/>
        </w:rPr>
        <w:t>】、</w:t>
      </w:r>
      <w:r>
        <w:rPr>
          <w:rFonts w:cs="宋体" w:hint="eastAsia"/>
          <w:sz w:val="22"/>
          <w:szCs w:val="24"/>
          <w:lang w:eastAsia="zh-CN"/>
        </w:rPr>
        <w:t>休闲体验</w:t>
      </w:r>
      <w:r>
        <w:rPr>
          <w:rFonts w:cs="宋体" w:hint="eastAsia"/>
          <w:b w:val="0"/>
          <w:bCs w:val="0"/>
          <w:sz w:val="22"/>
          <w:szCs w:val="24"/>
          <w:lang w:eastAsia="zh-CN"/>
        </w:rPr>
        <w:t>，</w:t>
      </w:r>
      <w:r>
        <w:rPr>
          <w:rFonts w:cs="宋体" w:hint="eastAsia"/>
          <w:sz w:val="22"/>
          <w:szCs w:val="24"/>
          <w:lang w:eastAsia="zh-CN"/>
        </w:rPr>
        <w:t>请按照实际投报情况填写，至少经营</w:t>
      </w:r>
      <w:r>
        <w:rPr>
          <w:rFonts w:cs="宋体" w:hint="eastAsia"/>
          <w:sz w:val="22"/>
          <w:szCs w:val="24"/>
          <w:lang w:val="en-US" w:eastAsia="zh-CN"/>
        </w:rPr>
        <w:t>2种业态，</w:t>
      </w:r>
      <w:r>
        <w:rPr>
          <w:rFonts w:cs="宋体" w:hint="eastAsia"/>
          <w:sz w:val="22"/>
          <w:szCs w:val="24"/>
          <w:lang w:eastAsia="zh-CN"/>
        </w:rPr>
        <w:t>不经营业态不填写；</w:t>
      </w:r>
    </w:p>
    <w:p>
      <w:pPr>
        <w:numPr>
          <w:ilvl w:val="0"/>
          <w:numId w:val="0"/>
        </w:numPr>
        <w:spacing w:line="240" w:lineRule="auto"/>
      </w:pPr>
      <w:r>
        <w:rPr>
          <w:rFonts w:ascii="宋体" w:hAnsi="宋体" w:cs="Times New Roman" w:hint="eastAsia"/>
          <w:color w:val="auto"/>
          <w:sz w:val="22"/>
          <w:szCs w:val="24"/>
          <w:lang w:val="en-US" w:eastAsia="zh-CN"/>
        </w:rPr>
        <w:t>（2）</w:t>
      </w:r>
      <w:r>
        <w:rPr>
          <w:rFonts w:ascii="宋体" w:eastAsia="宋体" w:hAnsi="宋体" w:cs="Times New Roman" w:hint="eastAsia"/>
          <w:color w:val="auto"/>
          <w:sz w:val="22"/>
          <w:szCs w:val="24"/>
          <w:lang w:val="en-US" w:eastAsia="zh-CN"/>
        </w:rPr>
        <w:t>具体的经营品牌或项目作为是否与周边店铺冲突的重要考量因素，请商家谨慎填写</w:t>
      </w:r>
      <w:r>
        <w:rPr>
          <w:rFonts w:ascii="宋体" w:hAnsi="宋体" w:cs="Times New Roman" w:hint="eastAsia"/>
          <w:color w:val="auto"/>
          <w:sz w:val="22"/>
          <w:szCs w:val="24"/>
          <w:lang w:val="en-US" w:eastAsia="zh-CN"/>
        </w:rPr>
        <w:t>；</w:t>
      </w:r>
    </w:p>
    <w:p>
      <w:pPr>
        <w:numPr>
          <w:ilvl w:val="0"/>
          <w:numId w:val="0"/>
        </w:numPr>
        <w:spacing w:line="240" w:lineRule="auto"/>
      </w:pPr>
      <w:r>
        <w:rPr>
          <w:rFonts w:ascii="宋体" w:hAnsi="宋体" w:cs="Times New Roman" w:hint="eastAsia"/>
          <w:color w:val="auto"/>
          <w:sz w:val="22"/>
          <w:szCs w:val="24"/>
          <w:lang w:val="en-US" w:eastAsia="zh-CN"/>
        </w:rPr>
        <w:t>（3）</w:t>
      </w:r>
      <w:r>
        <w:rPr>
          <w:rFonts w:ascii="宋体" w:eastAsia="宋体" w:hAnsi="宋体" w:cs="Times New Roman" w:hint="eastAsia"/>
          <w:color w:val="auto"/>
          <w:sz w:val="22"/>
          <w:szCs w:val="24"/>
          <w:lang w:val="en-US" w:eastAsia="zh-CN"/>
        </w:rPr>
        <w:t>各业态面积将影响最终评分结果，不能随意更改，请谨慎填报</w:t>
      </w:r>
      <w:r>
        <w:rPr>
          <w:rFonts w:ascii="宋体" w:eastAsia="宋体" w:hAnsi="宋体" w:cs="Times New Roman" w:hint="eastAsia"/>
          <w:color w:val="auto"/>
          <w:kern w:val="2"/>
          <w:sz w:val="22"/>
          <w:szCs w:val="24"/>
          <w:lang w:val="en-US" w:eastAsia="zh-CN" w:bidi="ar-SA"/>
        </w:rPr>
        <w:t>；</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ascii="宋体" w:eastAsia="宋体" w:hAnsi="宋体" w:cs="Times New Roman" w:hint="eastAsia"/>
          <w:color w:val="auto"/>
          <w:kern w:val="2"/>
          <w:sz w:val="22"/>
          <w:szCs w:val="24"/>
          <w:lang w:val="en-US" w:eastAsia="zh-CN" w:bidi="ar-SA"/>
        </w:rPr>
      </w:pPr>
      <w:r>
        <w:rPr>
          <w:rFonts w:ascii="宋体" w:hAnsi="宋体" w:cs="Times New Roman" w:hint="eastAsia"/>
          <w:color w:val="auto"/>
          <w:kern w:val="2"/>
          <w:sz w:val="22"/>
          <w:szCs w:val="24"/>
          <w:lang w:val="en-US" w:eastAsia="zh-CN" w:bidi="ar-SA"/>
        </w:rPr>
        <w:t>（4）</w:t>
      </w:r>
      <w:r>
        <w:rPr>
          <w:rFonts w:ascii="宋体" w:eastAsia="宋体" w:hAnsi="宋体" w:cs="Times New Roman" w:hint="eastAsia"/>
          <w:color w:val="auto"/>
          <w:kern w:val="2"/>
          <w:sz w:val="22"/>
          <w:szCs w:val="24"/>
          <w:lang w:val="en-US" w:eastAsia="zh-CN" w:bidi="ar-SA"/>
        </w:rPr>
        <w:t>由于天府新机场已启用，部分航班明年3月将完成最后转场，届时可能对本场客流量造成一定影响。T1航站楼国内区域计划于2023年上半年择期关闭改造，届时川航将搬至D指廊、CD连廊运行，2024年下半年T1改造完成后川航将搬回至T1航站楼，故D指廊及途经的DE连廊区域客流量会相应的受到影响。</w:t>
      </w:r>
    </w:p>
    <w:p>
      <w:pPr>
        <w:numPr>
          <w:ilvl w:val="0"/>
          <w:numId w:val="0"/>
        </w:numPr>
        <w:spacing w:line="240" w:lineRule="auto"/>
        <w:rPr>
          <w:rFonts w:hint="eastAsia"/>
          <w:lang w:val="en-US" w:eastAsia="zh-CN"/>
        </w:rPr>
      </w:pPr>
    </w:p>
    <w:p>
      <w:pPr>
        <w:spacing w:line="360" w:lineRule="auto"/>
        <w:rPr>
          <w:rFonts w:ascii="宋体" w:hAnsi="宋体" w:hint="eastAsia"/>
          <w:b/>
          <w:sz w:val="24"/>
          <w:szCs w:val="24"/>
        </w:rPr>
      </w:pPr>
      <w:r>
        <w:rPr>
          <w:rFonts w:ascii="宋体" w:hAnsi="宋体" w:hint="eastAsia"/>
          <w:b/>
          <w:color w:val="auto"/>
          <w:sz w:val="24"/>
          <w:szCs w:val="24"/>
        </w:rPr>
        <w:t xml:space="preserve">经营期限: </w:t>
      </w:r>
      <w:r>
        <w:rPr>
          <w:rFonts w:ascii="宋体" w:hAnsi="宋体" w:hint="eastAsia"/>
          <w:b/>
          <w:color w:val="auto"/>
          <w:sz w:val="24"/>
          <w:szCs w:val="24"/>
          <w:u w:val="single"/>
        </w:rPr>
        <w:t xml:space="preserve">       </w:t>
      </w:r>
      <w:r>
        <w:rPr>
          <w:rFonts w:ascii="宋体" w:hAnsi="宋体" w:hint="eastAsia"/>
          <w:b/>
          <w:color w:val="auto"/>
          <w:sz w:val="24"/>
          <w:szCs w:val="24"/>
        </w:rPr>
        <w:t>年</w:t>
      </w:r>
      <w:r>
        <w:rPr>
          <w:rFonts w:ascii="宋体" w:hAnsi="宋体" w:hint="eastAsia"/>
          <w:b/>
          <w:color w:val="auto"/>
          <w:sz w:val="24"/>
          <w:szCs w:val="24"/>
          <w:lang w:val="en-US" w:eastAsia="zh-CN"/>
        </w:rPr>
        <w:t xml:space="preserve"> (1 - 5年</w:t>
      </w:r>
      <w:r>
        <w:rPr>
          <w:rFonts w:ascii="宋体" w:hAnsi="宋体" w:hint="eastAsia"/>
          <w:b/>
          <w:sz w:val="24"/>
          <w:szCs w:val="24"/>
          <w:lang w:val="en-US" w:eastAsia="zh-CN"/>
        </w:rPr>
        <w:t>，</w:t>
      </w:r>
      <w:r>
        <w:rPr>
          <w:rFonts w:ascii="宋体" w:hAnsi="宋体" w:hint="eastAsia"/>
          <w:b/>
          <w:sz w:val="24"/>
          <w:szCs w:val="24"/>
        </w:rPr>
        <w:t>商家可</w:t>
      </w:r>
      <w:r>
        <w:rPr>
          <w:rFonts w:ascii="宋体" w:hAnsi="宋体" w:hint="eastAsia"/>
          <w:b/>
          <w:sz w:val="24"/>
          <w:szCs w:val="24"/>
          <w:lang w:eastAsia="zh-CN"/>
        </w:rPr>
        <w:t>自行选择填报</w:t>
      </w:r>
      <w:r>
        <w:rPr>
          <w:rFonts w:ascii="宋体" w:hAnsi="宋体" w:hint="eastAsia"/>
          <w:b/>
          <w:sz w:val="24"/>
          <w:szCs w:val="24"/>
        </w:rPr>
        <w:t>)</w:t>
      </w:r>
    </w:p>
    <w:p>
      <w:pPr>
        <w:spacing w:line="720" w:lineRule="auto"/>
        <w:rPr>
          <w:rFonts w:ascii="宋体" w:hAnsi="宋体" w:hint="eastAsia"/>
          <w:b/>
          <w:sz w:val="24"/>
          <w:szCs w:val="24"/>
        </w:rPr>
      </w:pPr>
    </w:p>
    <w:p>
      <w:pPr>
        <w:spacing w:line="360" w:lineRule="auto"/>
        <w:rPr>
          <w:rFonts w:ascii="宋体" w:hAnsi="宋体"/>
          <w:b/>
          <w:sz w:val="24"/>
          <w:szCs w:val="24"/>
        </w:rPr>
      </w:pPr>
      <w:r>
        <w:rPr>
          <w:rFonts w:ascii="宋体" w:hAnsi="宋体" w:hint="eastAsia"/>
          <w:b/>
          <w:sz w:val="24"/>
          <w:szCs w:val="24"/>
        </w:rPr>
        <w:t xml:space="preserve">报价人签名（公司盖章）： </w:t>
      </w:r>
      <w:r>
        <w:rPr>
          <w:rFonts w:ascii="宋体" w:hAnsi="宋体"/>
          <w:b/>
          <w:sz w:val="24"/>
          <w:szCs w:val="24"/>
        </w:rPr>
        <w:t xml:space="preserve">                      </w:t>
      </w:r>
      <w:r>
        <w:rPr>
          <w:rFonts w:ascii="宋体" w:hAnsi="宋体" w:hint="eastAsia"/>
          <w:b/>
          <w:sz w:val="24"/>
          <w:szCs w:val="24"/>
        </w:rPr>
        <w:t>时间：</w:t>
      </w:r>
    </w:p>
    <w:p>
      <w:pPr>
        <w:spacing w:line="360" w:lineRule="auto"/>
        <w:rPr>
          <w:rFonts w:ascii="宋体" w:hAnsi="宋体" w:hint="eastAsia"/>
          <w:b/>
          <w:sz w:val="24"/>
          <w:szCs w:val="24"/>
        </w:rPr>
      </w:pPr>
    </w:p>
    <w:p>
      <w:pPr>
        <w:spacing w:line="360" w:lineRule="auto"/>
        <w:rPr>
          <w:rFonts w:ascii="宋体" w:hAnsi="宋体" w:hint="eastAsia"/>
          <w:b/>
          <w:sz w:val="24"/>
          <w:szCs w:val="24"/>
        </w:rPr>
      </w:pPr>
    </w:p>
    <w:p>
      <w:pPr>
        <w:spacing w:line="360" w:lineRule="auto"/>
      </w:pPr>
      <w:r>
        <w:rPr>
          <w:rFonts w:ascii="宋体" w:hAnsi="宋体" w:hint="eastAsia"/>
          <w:b/>
          <w:sz w:val="24"/>
          <w:szCs w:val="24"/>
        </w:rPr>
        <w:t>本报价单为一次性最终报价，商家无二次报价机会，机场据此报价单进行评分。</w:t>
      </w:r>
    </w:p>
    <w:p>
      <w:pPr>
        <w:pStyle w:val="a"/>
        <w:rPr>
          <w:rFonts w:eastAsia="宋体" w:hint="eastAsia"/>
          <w:lang w:val="en-US" w:eastAsia="zh-CN"/>
        </w:rPr>
      </w:pPr>
      <w:r>
        <w:rPr>
          <w:rFonts w:ascii="宋体" w:hAnsi="宋体" w:hint="eastAsia"/>
          <w:b/>
          <w:sz w:val="24"/>
          <w:szCs w:val="24"/>
          <w:lang w:eastAsia="zh-CN"/>
        </w:rPr>
        <w:t>注：</w:t>
      </w:r>
    </w:p>
    <w:p>
      <w:pPr>
        <w:pStyle w:val="NormalWeb"/>
        <w:keepNext w:val="0"/>
        <w:keepLines w:val="0"/>
        <w:pageBreakBefore w:val="0"/>
        <w:widowControl/>
        <w:numPr>
          <w:ilvl w:val="0"/>
          <w:numId w:val="1"/>
        </w:numPr>
        <w:kinsoku/>
        <w:wordWrap/>
        <w:overflowPunct/>
        <w:topLinePunct w:val="0"/>
        <w:autoSpaceDE/>
        <w:autoSpaceDN/>
        <w:bidi w:val="0"/>
        <w:adjustRightInd w:val="0"/>
        <w:snapToGrid w:val="0"/>
        <w:spacing w:before="120" w:beforeAutospacing="0" w:after="120" w:afterAutospacing="0" w:line="360" w:lineRule="auto"/>
        <w:ind w:left="425" w:hanging="425"/>
        <w:textAlignment w:val="auto"/>
        <w:rPr>
          <w:rFonts w:ascii="Times New Roman" w:eastAsia="宋体" w:hAnsi="Times New Roman" w:hint="default"/>
          <w:b w:val="0"/>
          <w:bCs/>
          <w:color w:val="auto"/>
          <w:sz w:val="24"/>
          <w:szCs w:val="24"/>
          <w:lang w:val="en-US" w:eastAsia="zh-CN"/>
        </w:rPr>
      </w:pPr>
      <w:bookmarkStart w:id="1" w:name="_Toc28443"/>
      <w:r>
        <w:rPr>
          <w:rFonts w:ascii="Times New Roman" w:eastAsia="宋体" w:hAnsi="Times New Roman" w:cs="宋体" w:hint="eastAsia"/>
          <w:b/>
          <w:bCs w:val="0"/>
          <w:sz w:val="24"/>
          <w:szCs w:val="24"/>
          <w:lang w:val="en-US" w:eastAsia="zh-CN"/>
        </w:rPr>
        <w:t>保底租金报价方式及联动机制</w:t>
      </w:r>
      <w:r>
        <w:rPr>
          <w:rFonts w:ascii="Times New Roman" w:eastAsia="宋体" w:hAnsi="Times New Roman" w:cs="宋体" w:hint="eastAsia"/>
          <w:b w:val="0"/>
          <w:bCs/>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0"/>
        <w:textAlignment w:val="auto"/>
        <w:rPr>
          <w:rFonts w:ascii="Times New Roman" w:eastAsia="宋体" w:hAnsi="Times New Roman" w:hint="default"/>
          <w:b w:val="0"/>
          <w:bCs/>
          <w:color w:val="auto"/>
          <w:sz w:val="24"/>
          <w:szCs w:val="24"/>
          <w:lang w:val="en-US" w:eastAsia="zh-CN"/>
        </w:rPr>
      </w:pPr>
      <w:r>
        <w:rPr>
          <w:rFonts w:ascii="宋体" w:eastAsia="宋体" w:hAnsi="宋体" w:cs="宋体"/>
          <w:b w:val="0"/>
          <w:bCs/>
          <w:color w:val="auto"/>
          <w:sz w:val="24"/>
          <w:szCs w:val="24"/>
        </w:rPr>
        <w:t>报名商家以国内月均吞吐量231.7万人次/月为标准进行</w:t>
      </w:r>
      <w:r>
        <w:rPr>
          <w:rFonts w:cs="宋体" w:hint="eastAsia"/>
          <w:b w:val="0"/>
          <w:bCs/>
          <w:color w:val="auto"/>
          <w:sz w:val="24"/>
          <w:szCs w:val="24"/>
          <w:lang w:eastAsia="zh-CN"/>
        </w:rPr>
        <w:t>保底经营费用</w:t>
      </w:r>
      <w:r>
        <w:rPr>
          <w:rFonts w:ascii="宋体" w:eastAsia="宋体" w:hAnsi="宋体" w:cs="宋体"/>
          <w:b w:val="0"/>
          <w:bCs/>
          <w:color w:val="auto"/>
          <w:sz w:val="24"/>
          <w:szCs w:val="24"/>
        </w:rPr>
        <w:t>报价，合同期内各月保底</w:t>
      </w:r>
      <w:r>
        <w:rPr>
          <w:rFonts w:cs="宋体" w:hint="eastAsia"/>
          <w:b w:val="0"/>
          <w:bCs/>
          <w:color w:val="auto"/>
          <w:sz w:val="24"/>
          <w:szCs w:val="24"/>
          <w:lang w:eastAsia="zh-CN"/>
        </w:rPr>
        <w:t>经营费用</w:t>
      </w:r>
      <w:r>
        <w:rPr>
          <w:rFonts w:ascii="宋体" w:eastAsia="宋体" w:hAnsi="宋体" w:cs="宋体"/>
          <w:b w:val="0"/>
          <w:bCs/>
          <w:color w:val="auto"/>
          <w:sz w:val="24"/>
          <w:szCs w:val="24"/>
        </w:rPr>
        <w:t>按照当月吞吐量与231.7万人次之间的差异进行相应程度联动。</w:t>
      </w:r>
      <w:r>
        <w:rPr>
          <w:rFonts w:ascii="Times New Roman" w:hAnsi="Times New Roman" w:hint="eastAsia"/>
          <w:b w:val="0"/>
          <w:bCs/>
          <w:color w:val="auto"/>
          <w:sz w:val="24"/>
          <w:szCs w:val="24"/>
          <w:lang w:val="en-US" w:eastAsia="zh-CN"/>
        </w:rPr>
        <w:t xml:space="preserve">  </w:t>
      </w:r>
    </w:p>
    <w:tbl>
      <w:tblPr>
        <w:tblStyle w:val="TableNormal"/>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W w:w="8465" w:type="dxa"/>
          <w:tblInd w:w="0" w:type="dxa"/>
          <w:tblLayout w:type="fixed"/>
          <w:tblCellMar>
            <w:top w:w="0" w:type="dxa"/>
            <w:left w:w="0" w:type="dxa"/>
            <w:bottom w:w="0" w:type="dxa"/>
            <w:right w:w="0" w:type="dxa"/>
          </w:tblCellMar>
        </w:tblPrEx>
        <w:trPr>
          <w:trHeight w:val="397"/>
        </w:trPr>
        <w:tc>
          <w:tcPr>
            <w:tcW w:w="2433"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吞吐量较231.7万人次/月变动</w:t>
            </w:r>
            <w:r>
              <w:rPr>
                <w:rFonts w:ascii="宋体" w:eastAsia="宋体" w:hAnsi="宋体" w:cs="宋体" w:hint="eastAsia"/>
                <w:b w:val="0"/>
                <w:bCs w:val="0"/>
                <w:i w:val="0"/>
                <w:color w:val="000000"/>
                <w:kern w:val="0"/>
                <w:sz w:val="20"/>
                <w:szCs w:val="20"/>
                <w:u w:val="none"/>
                <w:lang w:val="en-US" w:eastAsia="zh-CN"/>
              </w:rPr>
              <w:t>（X）</w:t>
            </w:r>
          </w:p>
        </w:tc>
        <w:tc>
          <w:tcPr>
            <w:tcW w:w="1382"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sz w:val="20"/>
                <w:szCs w:val="20"/>
                <w:u w:val="none"/>
              </w:rPr>
            </w:pPr>
            <w:r>
              <w:rPr>
                <w:rFonts w:ascii="宋体" w:eastAsia="宋体" w:hAnsi="宋体" w:cs="宋体" w:hint="eastAsia"/>
                <w:b/>
                <w:bCs/>
                <w:i w:val="0"/>
                <w:color w:val="000000"/>
                <w:kern w:val="0"/>
                <w:sz w:val="20"/>
                <w:szCs w:val="20"/>
                <w:u w:val="none"/>
                <w:lang w:val="en-US" w:eastAsia="zh-CN"/>
              </w:rPr>
              <w:t>用联动比例</w:t>
            </w:r>
          </w:p>
        </w:tc>
        <w:tc>
          <w:tcPr>
            <w:tcW w:w="4650"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hAnsi="宋体" w:cs="宋体" w:hint="eastAsia"/>
                <w:b/>
                <w:bCs/>
                <w:i w:val="0"/>
                <w:color w:val="000000"/>
                <w:kern w:val="0"/>
                <w:sz w:val="20"/>
                <w:szCs w:val="20"/>
                <w:u w:val="none"/>
                <w:lang w:val="en-US" w:eastAsia="zh-CN"/>
              </w:rPr>
              <w:t>调整公式</w:t>
            </w:r>
          </w:p>
        </w:tc>
      </w:tr>
      <w:tr>
        <w:tblPrEx>
          <w:tblW w:w="8465" w:type="dxa"/>
          <w:tblInd w:w="0" w:type="dxa"/>
          <w:tblLayout w:type="fixed"/>
          <w:tblCellMar>
            <w:top w:w="0" w:type="dxa"/>
            <w:left w:w="0" w:type="dxa"/>
            <w:bottom w:w="0" w:type="dxa"/>
            <w:right w:w="0" w:type="dxa"/>
          </w:tblCellMar>
        </w:tblPrEx>
        <w:trPr>
          <w:trHeight w:val="594"/>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rPr>
            </w:pPr>
            <w:r>
              <w:rPr>
                <w:rFonts w:ascii="宋体" w:eastAsia="宋体" w:hAnsi="宋体" w:cs="宋体" w:hint="eastAsia"/>
                <w:i w:val="0"/>
                <w:color w:val="000000"/>
                <w:kern w:val="0"/>
                <w:sz w:val="20"/>
                <w:szCs w:val="20"/>
                <w:u w:val="none"/>
                <w:lang w:val="en-US" w:eastAsia="zh-CN"/>
              </w:rPr>
              <w:t>X≥0%</w:t>
            </w:r>
          </w:p>
        </w:tc>
        <w:tc>
          <w:tcPr>
            <w:tcW w:w="1382"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50%</w:t>
            </w:r>
          </w:p>
        </w:tc>
        <w:tc>
          <w:tcPr>
            <w:tcW w:w="4650"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*50%]。</w:t>
            </w:r>
          </w:p>
        </w:tc>
      </w:tr>
      <w:tr>
        <w:tblPrEx>
          <w:tblW w:w="8465" w:type="dxa"/>
          <w:tblInd w:w="0" w:type="dxa"/>
          <w:tblLayout w:type="fixed"/>
          <w:tblCellMar>
            <w:top w:w="0" w:type="dxa"/>
            <w:left w:w="0" w:type="dxa"/>
            <w:bottom w:w="0" w:type="dxa"/>
            <w:right w:w="0" w:type="dxa"/>
          </w:tblCellMar>
        </w:tblPrEx>
        <w:trPr>
          <w:trHeight w:val="69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eastAsia="zh-CN"/>
              </w:rPr>
            </w:pPr>
            <w:r>
              <w:rPr>
                <w:rFonts w:ascii="宋体" w:hAnsi="宋体" w:cs="宋体" w:hint="eastAsia"/>
                <w:i w:val="0"/>
                <w:color w:val="000000"/>
                <w:sz w:val="20"/>
                <w:szCs w:val="20"/>
                <w:u w:val="none"/>
                <w:lang w:val="en-US" w:eastAsia="zh-CN"/>
              </w:rPr>
              <w:t>-2</w:t>
            </w:r>
            <w:r>
              <w:rPr>
                <w:rFonts w:ascii="宋体" w:eastAsia="宋体" w:hAnsi="宋体" w:cs="宋体" w:hint="eastAsia"/>
                <w:i w:val="0"/>
                <w:color w:val="000000"/>
                <w:sz w:val="20"/>
                <w:szCs w:val="20"/>
                <w:u w:val="none"/>
                <w:lang w:val="en-US" w:eastAsia="zh-CN"/>
              </w:rPr>
              <w:t xml:space="preserve">0%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kern w:val="0"/>
                <w:sz w:val="20"/>
                <w:szCs w:val="20"/>
                <w:u w:val="none"/>
                <w:lang w:val="en-US" w:eastAsia="zh-CN"/>
              </w:rPr>
              <w:t xml:space="preserve"> </w:t>
            </w:r>
            <w:r>
              <w:rPr>
                <w:rFonts w:ascii="宋体" w:eastAsia="宋体" w:hAnsi="宋体" w:cs="宋体" w:hint="eastAsia"/>
                <w:i w:val="0"/>
                <w:color w:val="000000"/>
                <w:sz w:val="20"/>
                <w:szCs w:val="20"/>
                <w:u w:val="none"/>
                <w:lang w:val="en-US" w:eastAsia="zh-CN"/>
              </w:rPr>
              <w:t xml:space="preserve">X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sz w:val="20"/>
                <w:szCs w:val="20"/>
                <w:u w:val="none"/>
                <w:lang w:val="en-US" w:eastAsia="zh-CN"/>
              </w:rPr>
              <w:t xml:space="preserve"> 0%</w:t>
            </w:r>
          </w:p>
        </w:tc>
        <w:tc>
          <w:tcPr>
            <w:tcW w:w="1382"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p>
        </w:tc>
        <w:tc>
          <w:tcPr>
            <w:tcW w:w="4650"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p>
        </w:tc>
      </w:tr>
      <w:tr>
        <w:tblPrEx>
          <w:tblW w:w="8465" w:type="dxa"/>
          <w:tblInd w:w="0" w:type="dxa"/>
          <w:tblLayout w:type="fixed"/>
          <w:tblCellMar>
            <w:top w:w="0" w:type="dxa"/>
            <w:left w:w="0" w:type="dxa"/>
            <w:bottom w:w="0" w:type="dxa"/>
            <w:right w:w="0" w:type="dxa"/>
          </w:tblCellMar>
        </w:tblPrEx>
        <w:trPr>
          <w:trHeight w:val="114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X≤</w:t>
            </w:r>
            <w:r>
              <w:rPr>
                <w:rFonts w:ascii="宋体" w:eastAsia="宋体" w:hAnsi="宋体" w:cs="宋体" w:hint="eastAsia"/>
                <w:i w:val="0"/>
                <w:color w:val="000000"/>
                <w:kern w:val="0"/>
                <w:sz w:val="20"/>
                <w:szCs w:val="20"/>
                <w:u w:val="none"/>
                <w:lang w:val="en-US" w:eastAsia="zh-CN"/>
              </w:rPr>
              <w:t xml:space="preserve">-20% </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100</w:t>
            </w:r>
            <w:r>
              <w:rPr>
                <w:rFonts w:ascii="宋体" w:eastAsia="宋体" w:hAnsi="宋体" w:cs="宋体" w:hint="eastAsia"/>
                <w:i w:val="0"/>
                <w:color w:val="000000"/>
                <w:kern w:val="0"/>
                <w:sz w:val="20"/>
                <w:szCs w:val="20"/>
                <w:u w:val="none"/>
                <w:lang w:val="en-US" w:eastAsia="zh-CN"/>
              </w:rPr>
              <w:t>%</w:t>
            </w:r>
          </w:p>
        </w:tc>
        <w:tc>
          <w:tcPr>
            <w:tcW w:w="46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w:t>
            </w:r>
          </w:p>
        </w:tc>
      </w:tr>
    </w:tbl>
    <w:p>
      <w:pPr>
        <w:numPr>
          <w:ilvl w:val="0"/>
          <w:numId w:val="0"/>
        </w:numPr>
        <w:jc w:val="both"/>
        <w:rPr>
          <w:rFonts w:hint="eastAsia"/>
          <w:lang w:val="en-US" w:eastAsia="zh-CN"/>
        </w:rPr>
      </w:pPr>
      <w:bookmarkEnd w:id="1"/>
      <w:r>
        <w:rPr>
          <w:rFonts w:ascii="仿宋" w:eastAsia="仿宋" w:hAnsi="仿宋" w:cs="仿宋" w:hint="eastAsia"/>
          <w:b w:val="0"/>
          <w:bCs w:val="0"/>
          <w:sz w:val="24"/>
          <w:szCs w:val="24"/>
          <w:lang w:val="en-US" w:eastAsia="zh-CN"/>
        </w:rPr>
        <w:t>备注：自助设备实测面积为台数。</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ascii="宋体" w:eastAsia="宋体" w:hAnsi="宋体" w:cs="宋体" w:hint="default"/>
          <w:b/>
          <w:bCs w:val="0"/>
          <w:color w:val="auto"/>
          <w:sz w:val="24"/>
          <w:szCs w:val="24"/>
          <w:lang w:val="en-US" w:eastAsia="zh-CN"/>
        </w:rPr>
      </w:pPr>
      <w:r>
        <w:rPr>
          <w:rFonts w:ascii="宋体" w:eastAsia="宋体" w:hAnsi="宋体" w:cs="宋体" w:hint="eastAsia"/>
          <w:b/>
          <w:bCs w:val="0"/>
          <w:color w:val="auto"/>
          <w:sz w:val="24"/>
          <w:szCs w:val="24"/>
          <w:lang w:val="en-US" w:eastAsia="zh-CN"/>
        </w:rPr>
        <w:t>示例：</w:t>
      </w:r>
      <w:r>
        <w:rPr>
          <w:rFonts w:cs="宋体" w:hint="eastAsia"/>
          <w:b/>
          <w:bCs w:val="0"/>
          <w:color w:val="auto"/>
          <w:sz w:val="24"/>
          <w:szCs w:val="24"/>
          <w:lang w:val="en-US" w:eastAsia="zh-CN"/>
        </w:rPr>
        <w:t>假设商家报价为1000元/㎡/月，</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若当月T2候机楼实际吞吐量为380万人次，则商家需支付的实际保底租金单价为：1000*[1+（380-231.7）/231.7 *50%]=1320.03元。</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firstLine="549"/>
        <w:rPr>
          <w:rFonts w:ascii="宋体" w:eastAsia="宋体" w:hAnsi="宋体" w:cs="宋体" w:hint="eastAsia"/>
          <w:b/>
          <w:bCs w:val="0"/>
          <w:color w:val="auto"/>
          <w:kern w:val="0"/>
          <w:sz w:val="24"/>
          <w:szCs w:val="24"/>
          <w:lang w:val="en-US" w:eastAsia="zh-CN" w:bidi="ar-SA"/>
        </w:rPr>
      </w:pPr>
      <w:r>
        <w:rPr>
          <w:rFonts w:ascii="宋体" w:eastAsia="宋体" w:hAnsi="宋体" w:cs="宋体" w:hint="eastAsia"/>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a"/>
      </w:pPr>
    </w:p>
    <w:sectPr>
      <w:pgSz w:w="11906" w:h="16838"/>
      <w:pgMar w:top="703" w:right="1800" w:bottom="249"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9A975"/>
    <w:multiLevelType w:val="singleLevel"/>
    <w:tmpl w:val="E9C9A975"/>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qFormat/>
    <w:pPr>
      <w:spacing w:before="240" w:after="60"/>
      <w:jc w:val="center"/>
      <w:outlineLvl w:val="0"/>
    </w:pPr>
    <w:rPr>
      <w:rFonts w:ascii="Calibri Light" w:hAnsi="Calibri Light"/>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2019-01-11T08:59:00Z</dcterms:created>
  <dcterms:modified xsi:type="dcterms:W3CDTF">2022-12-15T01:36:20Z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