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6.5.0.0 -->
  <w:body>
    <w:p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="Times New Roman"/>
          <w:b/>
          <w:bCs/>
          <w:kern w:val="2"/>
        </w:rPr>
      </w:pPr>
      <w:r>
        <w:rPr>
          <w:rFonts w:cs="Times New Roman" w:hint="eastAsia"/>
          <w:b/>
          <w:bCs/>
          <w:kern w:val="2"/>
        </w:rPr>
        <w:t>附件1：</w:t>
      </w:r>
    </w:p>
    <w:p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商家报名资料</w:t>
      </w:r>
      <w:r>
        <w:rPr>
          <w:b/>
          <w:sz w:val="32"/>
          <w:szCs w:val="32"/>
        </w:rPr>
        <w:t>清单</w:t>
      </w:r>
    </w:p>
    <w:p>
      <w:pPr>
        <w:pStyle w:val="ListParagraph"/>
        <w:numPr>
          <w:ilvl w:val="0"/>
          <w:numId w:val="1"/>
        </w:numPr>
        <w:spacing w:line="276" w:lineRule="auto"/>
        <w:rPr>
          <w:rFonts w:asciiTheme="minorEastAsia" w:eastAsiaTheme="minorEastAsia" w:hAnsiTheme="minorEastAsia" w:cstheme="minorEastAsia" w:hint="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基本材料</w:t>
      </w:r>
    </w:p>
    <w:p>
      <w:pPr>
        <w:pStyle w:val="ListParagraph"/>
        <w:numPr>
          <w:ilvl w:val="0"/>
          <w:numId w:val="2"/>
        </w:numPr>
        <w:spacing w:line="276" w:lineRule="auto"/>
        <w:ind w:left="0" w:firstLine="530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租赁申请、未出现否决项的保证书（参见附件3）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  <w:t>；</w:t>
      </w:r>
    </w:p>
    <w:p>
      <w:pPr>
        <w:pStyle w:val="ListParagraph"/>
        <w:numPr>
          <w:ilvl w:val="0"/>
          <w:numId w:val="2"/>
        </w:numPr>
        <w:spacing w:line="276" w:lineRule="auto"/>
        <w:ind w:left="2" w:firstLine="528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企业营业执照、税务登记证、组织机构代码证副本（或有统一企业社会信用代码的三证合一经营执照副本）复印件加盖公章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  <w:t>；</w:t>
      </w:r>
    </w:p>
    <w:p>
      <w:pPr>
        <w:pStyle w:val="ListParagraph"/>
        <w:numPr>
          <w:ilvl w:val="0"/>
          <w:numId w:val="2"/>
        </w:numPr>
        <w:spacing w:line="276" w:lineRule="auto"/>
        <w:ind w:left="0" w:firstLine="530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法定代表人授权委托书、法定代表人身份证复印件、被授权人身份证复印件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  <w:t>；</w:t>
      </w:r>
    </w:p>
    <w:p>
      <w:pPr>
        <w:pStyle w:val="ListParagraph"/>
        <w:numPr>
          <w:ilvl w:val="0"/>
          <w:numId w:val="2"/>
        </w:numPr>
        <w:spacing w:line="276" w:lineRule="auto"/>
        <w:ind w:left="0" w:firstLine="530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品牌商标注册证、代理或加盟品牌的授权书或预授权、品牌介绍资料。</w:t>
      </w:r>
    </w:p>
    <w:p>
      <w:pPr>
        <w:pStyle w:val="ListParagraph"/>
        <w:numPr>
          <w:ilvl w:val="0"/>
          <w:numId w:val="1"/>
        </w:numPr>
        <w:spacing w:line="276" w:lineRule="auto"/>
        <w:ind w:left="0" w:firstLine="0"/>
        <w:rPr>
          <w:rFonts w:asciiTheme="minorEastAsia" w:eastAsiaTheme="minorEastAsia" w:hAnsiTheme="minorEastAsia" w:cstheme="minorEastAsia" w:hint="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财务报表 （必须是合同主体单位，分公司可用总公司资料参评，子公司不可用母公司资料参评）：</w:t>
      </w:r>
    </w:p>
    <w:p>
      <w:pPr>
        <w:pStyle w:val="ListParagraph"/>
        <w:numPr>
          <w:ilvl w:val="0"/>
          <w:numId w:val="3"/>
        </w:numPr>
        <w:spacing w:line="276" w:lineRule="auto"/>
        <w:ind w:hanging="277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经审计的近3年资产负债表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  <w:t>；</w:t>
      </w:r>
    </w:p>
    <w:p>
      <w:pPr>
        <w:pStyle w:val="ListParagraph"/>
        <w:numPr>
          <w:ilvl w:val="0"/>
          <w:numId w:val="3"/>
        </w:numPr>
        <w:spacing w:line="276" w:lineRule="auto"/>
        <w:ind w:hanging="277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经审计的近3年利润表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  <w:t>；</w:t>
      </w:r>
    </w:p>
    <w:p>
      <w:pPr>
        <w:pStyle w:val="ListParagraph"/>
        <w:numPr>
          <w:ilvl w:val="0"/>
          <w:numId w:val="3"/>
        </w:numPr>
        <w:spacing w:line="276" w:lineRule="auto"/>
        <w:ind w:hanging="277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经审计的近3年现金流量表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  <w:t>；</w:t>
      </w:r>
    </w:p>
    <w:p>
      <w:pPr>
        <w:pStyle w:val="ListParagraph"/>
        <w:numPr>
          <w:ilvl w:val="0"/>
          <w:numId w:val="3"/>
        </w:numPr>
        <w:spacing w:line="276" w:lineRule="auto"/>
        <w:ind w:hanging="277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经审计的近3年营业收入表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  <w:t>；</w:t>
      </w:r>
    </w:p>
    <w:p>
      <w:pPr>
        <w:pStyle w:val="ListParagraph"/>
        <w:numPr>
          <w:ilvl w:val="0"/>
          <w:numId w:val="3"/>
        </w:numPr>
        <w:spacing w:line="276" w:lineRule="auto"/>
        <w:ind w:hanging="277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银行资信证明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  <w:t>；</w:t>
      </w:r>
    </w:p>
    <w:p>
      <w:pPr>
        <w:pStyle w:val="ListParagraph"/>
        <w:numPr>
          <w:ilvl w:val="0"/>
          <w:numId w:val="3"/>
        </w:numPr>
        <w:spacing w:line="276" w:lineRule="auto"/>
        <w:ind w:hanging="277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近半年银行存款余额证明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  <w:t>。</w:t>
      </w:r>
    </w:p>
    <w:p>
      <w:pPr>
        <w:pStyle w:val="ListParagraph"/>
        <w:numPr>
          <w:ilvl w:val="0"/>
          <w:numId w:val="1"/>
        </w:numPr>
        <w:spacing w:line="276" w:lineRule="auto"/>
        <w:rPr>
          <w:rFonts w:asciiTheme="minorEastAsia" w:eastAsiaTheme="minorEastAsia" w:hAnsiTheme="minorEastAsia" w:cstheme="minorEastAsia" w:hint="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公司目前的开店证明：</w:t>
      </w:r>
    </w:p>
    <w:p>
      <w:pPr>
        <w:pStyle w:val="ListParagraph"/>
        <w:numPr>
          <w:ilvl w:val="0"/>
          <w:numId w:val="4"/>
        </w:numPr>
        <w:spacing w:line="276" w:lineRule="auto"/>
        <w:ind w:hanging="277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1500万级以上机场的开店数量或柜台数量及证明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  <w:t>；</w:t>
      </w:r>
    </w:p>
    <w:p>
      <w:pPr>
        <w:pStyle w:val="ListParagraph"/>
        <w:numPr>
          <w:ilvl w:val="0"/>
          <w:numId w:val="4"/>
        </w:numPr>
        <w:spacing w:line="276" w:lineRule="auto"/>
        <w:ind w:hanging="277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市区商圈开店数量或柜台数量及证明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  <w:t>。</w:t>
      </w:r>
    </w:p>
    <w:p>
      <w:pPr>
        <w:pStyle w:val="ListParagraph"/>
        <w:numPr>
          <w:ilvl w:val="0"/>
          <w:numId w:val="1"/>
        </w:numPr>
        <w:spacing w:line="276" w:lineRule="auto"/>
        <w:rPr>
          <w:rFonts w:asciiTheme="minorEastAsia" w:eastAsiaTheme="minorEastAsia" w:hAnsiTheme="minorEastAsia" w:cstheme="minorEastAsia" w:hint="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经营方案：</w:t>
      </w:r>
    </w:p>
    <w:p>
      <w:pPr>
        <w:pStyle w:val="ListParagraph"/>
        <w:numPr>
          <w:ilvl w:val="0"/>
          <w:numId w:val="5"/>
        </w:numPr>
        <w:spacing w:line="276" w:lineRule="auto"/>
        <w:ind w:hanging="274"/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机场该项目的商品/服务定价方案</w:t>
      </w:r>
    </w:p>
    <w:p>
      <w:pPr>
        <w:spacing w:line="276" w:lineRule="auto"/>
        <w:ind w:firstLine="723"/>
        <w:rPr>
          <w:rFonts w:asciiTheme="minorEastAsia" w:eastAsiaTheme="minorEastAsia" w:hAnsiTheme="minorEastAsia" w:cstheme="minorEastAsia"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b/>
          <w:bCs/>
          <w:color w:val="auto"/>
          <w:sz w:val="24"/>
          <w:szCs w:val="24"/>
          <w:lang w:eastAsia="zh-CN"/>
        </w:rPr>
        <w:t>①</w:t>
      </w:r>
      <w:r>
        <w:rPr>
          <w:rFonts w:asciiTheme="minorEastAsia" w:eastAsiaTheme="minorEastAsia" w:hAnsiTheme="minorEastAsia" w:cstheme="minorEastAsia" w:hint="eastAsia"/>
          <w:b/>
          <w:bCs/>
          <w:color w:val="auto"/>
          <w:sz w:val="24"/>
          <w:szCs w:val="24"/>
          <w:lang w:eastAsia="zh-CN"/>
        </w:rPr>
        <w:t>复合业态、特产综合、</w:t>
      </w:r>
      <w:r>
        <w:rPr>
          <w:rFonts w:asciiTheme="minorEastAsia" w:eastAsiaTheme="minorEastAsia" w:hAnsiTheme="minorEastAsia" w:cstheme="minorEastAsia" w:hint="eastAsia"/>
          <w:b/>
          <w:bCs/>
          <w:color w:val="auto"/>
          <w:sz w:val="24"/>
          <w:szCs w:val="24"/>
          <w:lang w:val="en-US" w:eastAsia="zh-CN"/>
        </w:rPr>
        <w:t>单品牌特产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  <w:lang w:eastAsia="zh-CN"/>
        </w:rPr>
        <w:t>：</w:t>
      </w:r>
      <w:r>
        <w:rPr>
          <w:rFonts w:asciiTheme="minorEastAsia" w:eastAsiaTheme="minorEastAsia" w:hAnsiTheme="minorEastAsia" w:cstheme="minorEastAsia" w:hint="eastAsia"/>
          <w:b/>
          <w:bCs/>
          <w:color w:val="auto"/>
          <w:sz w:val="24"/>
          <w:szCs w:val="24"/>
          <w:lang w:val="en-US" w:eastAsia="zh-CN"/>
        </w:rPr>
        <w:t xml:space="preserve">执行“同城同质同价”(航站楼提质改造项目完成之前执行机场审核价)。 </w:t>
      </w:r>
      <w:r>
        <w:rPr>
          <w:rFonts w:asciiTheme="minorEastAsia" w:eastAsiaTheme="minorEastAsia" w:hAnsiTheme="minorEastAsia" w:cstheme="minorEastAsia" w:hint="eastAsia"/>
          <w:b w:val="0"/>
          <w:bCs w:val="0"/>
          <w:sz w:val="24"/>
          <w:szCs w:val="24"/>
        </w:rPr>
        <w:t>须提供同城同质同价承诺书，承诺书将作为中选后签订合同的依据；</w:t>
      </w:r>
      <w:r>
        <w:rPr>
          <w:rFonts w:asciiTheme="minorEastAsia" w:eastAsiaTheme="minorEastAsia" w:hAnsiTheme="minorEastAsia" w:cstheme="minorEastAsia" w:hint="eastAsia"/>
          <w:b w:val="0"/>
          <w:bCs w:val="0"/>
          <w:sz w:val="24"/>
          <w:szCs w:val="24"/>
          <w:lang w:val="en-US" w:eastAsia="zh-CN"/>
        </w:rPr>
        <w:t>对标成都市区主流商圈的名称（春熙、太古里、宽窄巷子、锦里、环球中心等），对标店铺名称，对标店铺商品价目表等。</w:t>
      </w:r>
    </w:p>
    <w:p>
      <w:pPr>
        <w:pStyle w:val="a"/>
        <w:rPr>
          <w:rFonts w:asciiTheme="minorEastAsia" w:eastAsiaTheme="minorEastAsia" w:hAnsiTheme="minorEastAsia" w:cstheme="minorEastAsia"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ascii="宋体" w:eastAsia="宋体" w:hAnsi="宋体" w:cs="宋体" w:hint="eastAsia"/>
          <w:b/>
          <w:bCs/>
          <w:lang w:val="en-US" w:eastAsia="zh-CN"/>
        </w:rPr>
        <w:t>②</w:t>
      </w:r>
      <w:r>
        <w:rPr>
          <w:rFonts w:hint="eastAsia"/>
          <w:b/>
          <w:bCs/>
          <w:lang w:val="en-US" w:eastAsia="zh-CN"/>
        </w:rPr>
        <w:t>品牌百货</w:t>
      </w:r>
      <w:r>
        <w:rPr>
          <w:rFonts w:hint="eastAsia"/>
          <w:lang w:val="en-US" w:eastAsia="zh-CN"/>
        </w:rPr>
        <w:t>：</w:t>
      </w:r>
      <w:r>
        <w:rPr>
          <w:rFonts w:asciiTheme="minorEastAsia" w:eastAsiaTheme="minorEastAsia" w:hAnsiTheme="minorEastAsia" w:cstheme="minorEastAsia" w:hint="eastAsia"/>
          <w:b/>
          <w:bCs/>
          <w:color w:val="auto"/>
          <w:sz w:val="24"/>
          <w:szCs w:val="24"/>
          <w:lang w:val="en-US" w:eastAsia="zh-CN"/>
        </w:rPr>
        <w:t>执行“同城同质同价”。</w:t>
      </w:r>
    </w:p>
    <w:p>
      <w:pPr>
        <w:spacing w:line="276" w:lineRule="auto"/>
        <w:rPr>
          <w:rFonts w:ascii="宋体" w:hAnsi="宋体" w:hint="eastAsia"/>
          <w:b/>
          <w:bCs/>
          <w:sz w:val="24"/>
          <w:szCs w:val="24"/>
          <w:lang w:val="en-US" w:eastAsia="zh-CN"/>
        </w:rPr>
      </w:pPr>
    </w:p>
    <w:p>
      <w:pPr>
        <w:spacing w:line="276" w:lineRule="auto"/>
        <w:ind w:firstLine="723"/>
        <w:rPr>
          <w:rFonts w:asciiTheme="minorEastAsia" w:eastAsiaTheme="minorEastAsia" w:hAnsiTheme="minorEastAsia" w:cstheme="minorEastAsia"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lang w:val="en-US" w:eastAsia="zh-CN"/>
        </w:rPr>
        <w:t>③</w:t>
      </w:r>
      <w:r>
        <w:rPr>
          <w:rFonts w:ascii="宋体" w:hAnsi="宋体" w:hint="eastAsia"/>
          <w:b/>
          <w:bCs/>
          <w:sz w:val="24"/>
          <w:szCs w:val="24"/>
          <w:lang w:val="en-US" w:eastAsia="zh-CN"/>
        </w:rPr>
        <w:t>餐饮类项目:</w:t>
      </w:r>
      <w:r>
        <w:rPr>
          <w:rFonts w:ascii="宋体" w:hAnsi="宋体" w:hint="eastAsia"/>
          <w:b/>
          <w:bCs/>
          <w:sz w:val="24"/>
          <w:szCs w:val="24"/>
        </w:rPr>
        <w:t>须提供同城同质同价承诺书，承诺书将作为中选后签订合同的依据；</w:t>
      </w:r>
      <w:r>
        <w:rPr>
          <w:rFonts w:ascii="宋体" w:hAnsi="宋体" w:hint="eastAsia"/>
          <w:b/>
          <w:bCs/>
          <w:sz w:val="24"/>
          <w:szCs w:val="24"/>
          <w:lang w:eastAsia="zh-CN"/>
        </w:rPr>
        <w:t>承诺书中必须明确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  <w:lang w:val="en-US" w:eastAsia="zh-CN"/>
        </w:rPr>
        <w:t>餐厅定位，对标成都市区主流商圈的名称（春熙、太古里、宽窄巷子、锦里、环球中心等），对标餐厅名称，对标餐厅的餐饮价目表等。</w:t>
      </w:r>
    </w:p>
    <w:p>
      <w:pPr>
        <w:pStyle w:val="ListParagraph"/>
        <w:numPr>
          <w:ilvl w:val="0"/>
          <w:numId w:val="5"/>
        </w:numPr>
        <w:spacing w:line="276" w:lineRule="auto"/>
        <w:ind w:hanging="274"/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装修效果图（或店铺实景图）及装修预算。</w:t>
      </w:r>
    </w:p>
    <w:p>
      <w:pPr>
        <w:pStyle w:val="ListParagraph"/>
        <w:numPr>
          <w:ilvl w:val="0"/>
          <w:numId w:val="5"/>
        </w:numPr>
        <w:spacing w:line="276" w:lineRule="auto"/>
        <w:ind w:hanging="274"/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近5年获奖证明。</w:t>
      </w:r>
    </w:p>
    <w:p>
      <w:pPr>
        <w:pStyle w:val="ListParagraph"/>
        <w:numPr>
          <w:ilvl w:val="0"/>
          <w:numId w:val="5"/>
        </w:numPr>
        <w:spacing w:line="276" w:lineRule="auto"/>
        <w:ind w:hanging="274"/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近2年投放媒体广告的情况。</w:t>
      </w:r>
    </w:p>
    <w:p>
      <w:pPr>
        <w:pStyle w:val="10"/>
        <w:spacing w:line="276" w:lineRule="auto"/>
        <w:ind w:hanging="274"/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 xml:space="preserve">        5.本项目运营方案，包括但不限于开店背景、目的、销售预测及分析、低价位供应方案、人均客单价预测。</w:t>
      </w:r>
    </w:p>
    <w:p>
      <w:pPr>
        <w:pStyle w:val="ListParagraph"/>
        <w:numPr>
          <w:ilvl w:val="0"/>
          <w:numId w:val="0"/>
        </w:numPr>
        <w:spacing w:line="276" w:lineRule="auto"/>
        <w:ind w:firstLine="723"/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  <w:lang w:val="en-US" w:eastAsia="zh-CN"/>
        </w:rPr>
        <w:t>6.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公司管理制度，明细如下：</w:t>
      </w:r>
    </w:p>
    <w:p>
      <w:pPr>
        <w:pStyle w:val="10"/>
        <w:numPr>
          <w:ilvl w:val="0"/>
          <w:numId w:val="0"/>
        </w:numPr>
        <w:spacing w:line="276" w:lineRule="auto"/>
        <w:ind w:firstLine="452"/>
        <w:rPr>
          <w:rFonts w:ascii="宋体" w:eastAsia="宋体" w:hAnsi="宋体" w:cs="仿宋" w:hint="eastAsia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2"/>
          <w:sz w:val="15"/>
          <w:szCs w:val="15"/>
          <w:lang w:val="en-US" w:eastAsia="zh-CN" w:bidi="ar-SA"/>
        </w:rPr>
        <w:t xml:space="preserve">●     </w:t>
      </w:r>
      <w:r>
        <w:rPr>
          <w:rFonts w:asciiTheme="minorEastAsia" w:eastAsiaTheme="minorEastAsia" w:hAnsiTheme="minorEastAsia" w:cstheme="minorEastAsia" w:hint="eastAsia"/>
          <w:b/>
          <w:bCs/>
          <w:kern w:val="2"/>
          <w:sz w:val="24"/>
          <w:szCs w:val="24"/>
          <w:lang w:val="en-US" w:eastAsia="zh-CN" w:bidi="ar-SA"/>
        </w:rPr>
        <w:t>餐饮类</w:t>
      </w:r>
      <w:r>
        <w:rPr>
          <w:rFonts w:ascii="宋体" w:hAnsi="宋体" w:cs="仿宋" w:hint="eastAsia"/>
          <w:b/>
          <w:bCs/>
          <w:kern w:val="2"/>
          <w:sz w:val="24"/>
          <w:szCs w:val="24"/>
          <w:lang w:val="en-US" w:eastAsia="zh-CN" w:bidi="ar-SA"/>
        </w:rPr>
        <w:t>（含中式简餐、饮品甜点）</w:t>
      </w:r>
      <w:r>
        <w:rPr>
          <w:rFonts w:ascii="宋体" w:eastAsia="宋体" w:hAnsi="宋体" w:cs="仿宋" w:hint="eastAsia"/>
          <w:b/>
          <w:bCs/>
          <w:kern w:val="2"/>
          <w:sz w:val="24"/>
          <w:szCs w:val="24"/>
          <w:lang w:val="en-US" w:eastAsia="zh-CN" w:bidi="ar-SA"/>
        </w:rPr>
        <w:t>商家请提供以下管理制度：</w:t>
      </w:r>
    </w:p>
    <w:p>
      <w:pPr>
        <w:pStyle w:val="10"/>
        <w:numPr>
          <w:ilvl w:val="0"/>
          <w:numId w:val="6"/>
        </w:numPr>
        <w:ind w:left="1" w:firstLine="424"/>
        <w:rPr>
          <w:rFonts w:ascii="宋体" w:hAnsi="宋体" w:cs="仿宋" w:hint="eastAsia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  <w:lang w:val="en-US" w:eastAsia="zh-CN"/>
        </w:rPr>
        <w:t xml:space="preserve">  </w:t>
      </w:r>
      <w:r>
        <w:rPr>
          <w:rFonts w:ascii="宋体" w:hAnsi="宋体" w:cs="仿宋" w:hint="eastAsia"/>
          <w:sz w:val="24"/>
          <w:szCs w:val="24"/>
        </w:rPr>
        <w:t>卫生保洁制度</w:t>
      </w:r>
    </w:p>
    <w:p>
      <w:pPr>
        <w:pStyle w:val="10"/>
        <w:numPr>
          <w:ilvl w:val="0"/>
          <w:numId w:val="6"/>
        </w:numPr>
        <w:ind w:left="1" w:firstLine="424"/>
        <w:rPr>
          <w:rFonts w:ascii="宋体" w:hAnsi="宋体" w:cs="仿宋" w:hint="eastAsia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  <w:lang w:val="en-US" w:eastAsia="zh-CN"/>
        </w:rPr>
        <w:t xml:space="preserve">  </w:t>
      </w:r>
      <w:r>
        <w:rPr>
          <w:rFonts w:ascii="宋体" w:hAnsi="宋体" w:cs="仿宋" w:hint="eastAsia"/>
          <w:sz w:val="24"/>
          <w:szCs w:val="24"/>
        </w:rPr>
        <w:t>卫生知识培训制度和从业人员健康检查制度</w:t>
      </w:r>
    </w:p>
    <w:p>
      <w:pPr>
        <w:pStyle w:val="10"/>
        <w:numPr>
          <w:ilvl w:val="0"/>
          <w:numId w:val="6"/>
        </w:numPr>
        <w:ind w:left="1" w:firstLine="424"/>
        <w:rPr>
          <w:rFonts w:ascii="宋体" w:hAnsi="宋体" w:cs="仿宋" w:hint="eastAsia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  <w:lang w:val="en-US" w:eastAsia="zh-CN"/>
        </w:rPr>
        <w:t xml:space="preserve">  </w:t>
      </w:r>
      <w:r>
        <w:rPr>
          <w:rFonts w:ascii="宋体" w:hAnsi="宋体" w:cs="仿宋" w:hint="eastAsia"/>
          <w:sz w:val="24"/>
          <w:szCs w:val="24"/>
        </w:rPr>
        <w:t>卫生安全责任检查和追究制度</w:t>
      </w:r>
    </w:p>
    <w:p>
      <w:pPr>
        <w:pStyle w:val="10"/>
        <w:numPr>
          <w:ilvl w:val="0"/>
          <w:numId w:val="6"/>
        </w:numPr>
        <w:ind w:left="1" w:firstLine="424"/>
        <w:rPr>
          <w:rFonts w:ascii="宋体" w:hAnsi="宋体" w:cs="仿宋" w:hint="eastAsia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  <w:lang w:val="en-US" w:eastAsia="zh-CN"/>
        </w:rPr>
        <w:t xml:space="preserve">  </w:t>
      </w:r>
      <w:r>
        <w:rPr>
          <w:rFonts w:ascii="宋体" w:hAnsi="宋体" w:cs="仿宋" w:hint="eastAsia"/>
          <w:sz w:val="24"/>
          <w:szCs w:val="24"/>
        </w:rPr>
        <w:t>库房管理制度</w:t>
      </w:r>
    </w:p>
    <w:p>
      <w:pPr>
        <w:pStyle w:val="10"/>
        <w:numPr>
          <w:ilvl w:val="0"/>
          <w:numId w:val="6"/>
        </w:numPr>
        <w:ind w:left="1" w:firstLine="424"/>
        <w:rPr>
          <w:rFonts w:ascii="宋体" w:hAnsi="宋体" w:cs="仿宋" w:hint="eastAsia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  <w:lang w:val="en-US" w:eastAsia="zh-CN"/>
        </w:rPr>
        <w:t xml:space="preserve">  </w:t>
      </w:r>
      <w:r>
        <w:rPr>
          <w:rFonts w:ascii="宋体" w:hAnsi="宋体" w:cs="仿宋" w:hint="eastAsia"/>
          <w:sz w:val="24"/>
          <w:szCs w:val="24"/>
        </w:rPr>
        <w:t>食品进货查验记录制度</w:t>
      </w:r>
    </w:p>
    <w:p>
      <w:pPr>
        <w:pStyle w:val="10"/>
        <w:numPr>
          <w:ilvl w:val="0"/>
          <w:numId w:val="6"/>
        </w:numPr>
        <w:ind w:left="1" w:firstLine="424"/>
        <w:rPr>
          <w:rFonts w:ascii="宋体" w:hAnsi="宋体" w:cs="仿宋" w:hint="eastAsia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  <w:lang w:val="en-US" w:eastAsia="zh-CN"/>
        </w:rPr>
        <w:t xml:space="preserve">  </w:t>
      </w:r>
      <w:r>
        <w:rPr>
          <w:rFonts w:ascii="宋体" w:hAnsi="宋体" w:cs="仿宋" w:hint="eastAsia"/>
          <w:sz w:val="24"/>
          <w:szCs w:val="24"/>
        </w:rPr>
        <w:t>进出库台账制度、食品安全事故处理制度和报告制度等</w:t>
      </w:r>
    </w:p>
    <w:p>
      <w:pPr>
        <w:pStyle w:val="10"/>
        <w:numPr>
          <w:ilvl w:val="0"/>
          <w:numId w:val="6"/>
        </w:numPr>
        <w:ind w:left="1" w:firstLine="424"/>
        <w:rPr>
          <w:rFonts w:ascii="宋体" w:hAnsi="宋体" w:cs="仿宋" w:hint="eastAsia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  <w:lang w:val="en-US" w:eastAsia="zh-CN"/>
        </w:rPr>
        <w:t xml:space="preserve">  </w:t>
      </w:r>
      <w:r>
        <w:rPr>
          <w:rFonts w:ascii="宋体" w:hAnsi="宋体" w:cs="仿宋" w:hint="eastAsia"/>
          <w:sz w:val="24"/>
          <w:szCs w:val="24"/>
        </w:rPr>
        <w:t>食品中毒应急预案</w:t>
      </w:r>
    </w:p>
    <w:p>
      <w:pPr>
        <w:pStyle w:val="10"/>
        <w:numPr>
          <w:ilvl w:val="0"/>
          <w:numId w:val="6"/>
        </w:numPr>
        <w:ind w:left="1" w:firstLine="424"/>
        <w:rPr>
          <w:rFonts w:ascii="宋体" w:hAnsi="宋体" w:cs="仿宋" w:hint="eastAsia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  <w:lang w:val="en-US" w:eastAsia="zh-CN"/>
        </w:rPr>
        <w:t xml:space="preserve">  </w:t>
      </w:r>
      <w:r>
        <w:rPr>
          <w:rFonts w:ascii="宋体" w:hAnsi="宋体" w:cs="仿宋" w:hint="eastAsia"/>
          <w:sz w:val="24"/>
          <w:szCs w:val="24"/>
        </w:rPr>
        <w:t>食品生产单位提供食品出厂检验记录制度、食品生产过程安全管理情</w:t>
      </w:r>
      <w:r>
        <w:rPr>
          <w:rFonts w:ascii="宋体" w:hAnsi="宋体" w:cs="仿宋" w:hint="eastAsia"/>
          <w:sz w:val="24"/>
          <w:szCs w:val="24"/>
          <w:lang w:val="en-US" w:eastAsia="zh-CN"/>
        </w:rPr>
        <w:t xml:space="preserve"> </w:t>
      </w:r>
      <w:r>
        <w:rPr>
          <w:rFonts w:ascii="宋体" w:hAnsi="宋体" w:cs="仿宋" w:hint="eastAsia"/>
          <w:sz w:val="24"/>
          <w:szCs w:val="24"/>
        </w:rPr>
        <w:t>况记录等相关制度</w:t>
      </w:r>
    </w:p>
    <w:p>
      <w:pPr>
        <w:pStyle w:val="10"/>
        <w:numPr>
          <w:ilvl w:val="0"/>
          <w:numId w:val="6"/>
        </w:numPr>
        <w:ind w:left="1" w:firstLine="424"/>
        <w:rPr>
          <w:rFonts w:asciiTheme="minorEastAsia" w:eastAsiaTheme="minorEastAsia" w:hAnsiTheme="minorEastAsia" w:cstheme="minorEastAsia" w:hint="eastAsia"/>
          <w:b/>
          <w:bCs/>
          <w:sz w:val="24"/>
          <w:szCs w:val="24"/>
          <w:lang w:val="en-US" w:eastAsia="zh-CN"/>
        </w:rPr>
      </w:pPr>
      <w:r>
        <w:rPr>
          <w:rFonts w:ascii="宋体" w:hAnsi="宋体" w:cs="仿宋" w:hint="eastAsia"/>
          <w:sz w:val="24"/>
          <w:szCs w:val="24"/>
          <w:lang w:val="en-US" w:eastAsia="zh-CN"/>
        </w:rPr>
        <w:t xml:space="preserve">  </w:t>
      </w:r>
      <w:r>
        <w:rPr>
          <w:rFonts w:ascii="宋体" w:hAnsi="宋体" w:cs="仿宋" w:hint="eastAsia"/>
          <w:sz w:val="24"/>
          <w:szCs w:val="24"/>
        </w:rPr>
        <w:t>日常管理制度（含投诉处理制度）</w:t>
      </w:r>
    </w:p>
    <w:p>
      <w:pPr>
        <w:numPr>
          <w:ilvl w:val="0"/>
          <w:numId w:val="7"/>
        </w:numPr>
        <w:spacing w:line="276" w:lineRule="auto"/>
        <w:ind w:left="840" w:hanging="420"/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  <w:lang w:eastAsia="zh-CN"/>
        </w:rPr>
        <w:t>品牌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百货类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  <w:lang w:val="en-US" w:eastAsia="zh-CN"/>
        </w:rPr>
        <w:t>(含品牌百货）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商家请提供以下管理制度：</w:t>
      </w:r>
    </w:p>
    <w:p>
      <w:pPr>
        <w:pStyle w:val="10"/>
        <w:numPr>
          <w:ilvl w:val="0"/>
          <w:numId w:val="8"/>
        </w:numPr>
        <w:spacing w:line="276" w:lineRule="auto"/>
        <w:ind w:left="426" w:firstLine="0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机场商品定价方案</w:t>
      </w:r>
    </w:p>
    <w:p>
      <w:pPr>
        <w:pStyle w:val="10"/>
        <w:numPr>
          <w:ilvl w:val="0"/>
          <w:numId w:val="8"/>
        </w:numPr>
        <w:spacing w:line="276" w:lineRule="auto"/>
        <w:ind w:left="426" w:firstLine="0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应急制度</w:t>
      </w:r>
    </w:p>
    <w:p>
      <w:pPr>
        <w:pStyle w:val="10"/>
        <w:numPr>
          <w:ilvl w:val="0"/>
          <w:numId w:val="8"/>
        </w:numPr>
        <w:spacing w:line="276" w:lineRule="auto"/>
        <w:ind w:left="426" w:firstLine="0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日常管理制度（含投诉处理制度）</w:t>
      </w:r>
    </w:p>
    <w:p>
      <w:pPr>
        <w:numPr>
          <w:ilvl w:val="0"/>
          <w:numId w:val="9"/>
        </w:numPr>
        <w:ind w:left="840" w:hanging="420"/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  <w:lang w:eastAsia="zh-CN"/>
        </w:rPr>
        <w:t>食品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特产类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  <w:lang w:eastAsia="zh-CN"/>
        </w:rPr>
        <w:t>（含特产综合、单品牌特产）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商家请提供以下管理制度：</w:t>
      </w:r>
    </w:p>
    <w:p>
      <w:pPr>
        <w:pStyle w:val="10"/>
        <w:numPr>
          <w:ilvl w:val="0"/>
          <w:numId w:val="10"/>
        </w:numPr>
        <w:ind w:left="1155" w:hanging="735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旅客必需品（快消品）供应及定价方案</w:t>
      </w:r>
    </w:p>
    <w:p>
      <w:pPr>
        <w:pStyle w:val="10"/>
        <w:numPr>
          <w:ilvl w:val="0"/>
          <w:numId w:val="10"/>
        </w:numPr>
        <w:ind w:left="1155" w:hanging="735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食品进货查验记录制度</w:t>
      </w:r>
    </w:p>
    <w:p>
      <w:pPr>
        <w:pStyle w:val="10"/>
        <w:numPr>
          <w:ilvl w:val="0"/>
          <w:numId w:val="10"/>
        </w:numPr>
        <w:ind w:left="1155" w:hanging="735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进出库台账制度、食品安全事故处理制度和报告制度等</w:t>
      </w:r>
    </w:p>
    <w:p>
      <w:pPr>
        <w:pStyle w:val="10"/>
        <w:numPr>
          <w:ilvl w:val="0"/>
          <w:numId w:val="10"/>
        </w:numPr>
        <w:ind w:left="1155" w:hanging="735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食品中毒应急预案</w:t>
      </w:r>
    </w:p>
    <w:p>
      <w:pPr>
        <w:pStyle w:val="10"/>
        <w:numPr>
          <w:ilvl w:val="0"/>
          <w:numId w:val="10"/>
        </w:numPr>
        <w:ind w:left="1155" w:hanging="735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日常管理制度（含投诉处理制度）</w:t>
      </w:r>
    </w:p>
    <w:p>
      <w:pPr>
        <w:numPr>
          <w:ilvl w:val="0"/>
          <w:numId w:val="11"/>
        </w:numPr>
        <w:spacing w:line="276" w:lineRule="auto"/>
        <w:ind w:left="840" w:hanging="420"/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休闲及其他类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  <w:lang w:eastAsia="zh-CN"/>
        </w:rPr>
        <w:t>（含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  <w:lang w:eastAsia="zh-CN"/>
        </w:rPr>
        <w:t>自助设备）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商家请提供以下管理制度：</w:t>
      </w:r>
    </w:p>
    <w:p>
      <w:pPr>
        <w:pStyle w:val="10"/>
        <w:numPr>
          <w:ilvl w:val="0"/>
          <w:numId w:val="12"/>
        </w:numPr>
        <w:spacing w:line="276" w:lineRule="auto"/>
        <w:ind w:left="420" w:firstLine="0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设备设施维修制度</w:t>
      </w:r>
    </w:p>
    <w:p>
      <w:pPr>
        <w:pStyle w:val="10"/>
        <w:numPr>
          <w:ilvl w:val="0"/>
          <w:numId w:val="12"/>
        </w:numPr>
        <w:spacing w:line="276" w:lineRule="auto"/>
        <w:ind w:left="420" w:firstLine="0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设备缺货率管理制度</w:t>
      </w:r>
    </w:p>
    <w:p>
      <w:pPr>
        <w:pStyle w:val="10"/>
        <w:numPr>
          <w:ilvl w:val="0"/>
          <w:numId w:val="12"/>
        </w:numPr>
        <w:spacing w:line="276" w:lineRule="auto"/>
        <w:ind w:left="420" w:firstLine="0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日常管理制度（含投诉处理制度）</w:t>
      </w:r>
    </w:p>
    <w:p>
      <w:pPr>
        <w:pStyle w:val="10"/>
        <w:numPr>
          <w:ilvl w:val="0"/>
          <w:numId w:val="12"/>
        </w:numPr>
        <w:spacing w:line="276" w:lineRule="auto"/>
        <w:ind w:left="420" w:firstLine="0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应急制度</w:t>
      </w:r>
    </w:p>
    <w:p>
      <w:pPr>
        <w:pStyle w:val="10"/>
        <w:numPr>
          <w:ilvl w:val="0"/>
          <w:numId w:val="13"/>
        </w:numPr>
        <w:spacing w:line="276" w:lineRule="auto"/>
        <w:ind w:left="840" w:hanging="420"/>
        <w:rPr>
          <w:rFonts w:asciiTheme="minorEastAsia" w:eastAsiaTheme="minorEastAsia" w:hAnsiTheme="minorEastAsia" w:cstheme="minorEastAsia" w:hint="eastAsia"/>
          <w:b/>
          <w:bCs/>
          <w:sz w:val="24"/>
          <w:szCs w:val="24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  <w:lang w:eastAsia="zh-CN"/>
        </w:rPr>
        <w:t>复合业态</w:t>
      </w:r>
    </w:p>
    <w:p>
      <w:pPr>
        <w:pStyle w:val="10"/>
        <w:numPr>
          <w:ilvl w:val="0"/>
          <w:numId w:val="0"/>
        </w:numPr>
        <w:spacing w:line="276" w:lineRule="auto"/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  <w:t>请按照以上标准，提供所投报业态的所有管理制度。</w:t>
      </w:r>
    </w:p>
    <w:p>
      <w:pPr>
        <w:rPr>
          <w:rFonts w:asciiTheme="minorEastAsia" w:eastAsiaTheme="minorEastAsia" w:hAnsiTheme="minorEastAsia" w:cstheme="minorEastAsia" w:hint="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6CC03A"/>
    <w:multiLevelType w:val="singleLevel"/>
    <w:tmpl w:val="896CC03A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</w:abstractNum>
  <w:abstractNum w:abstractNumId="1">
    <w:nsid w:val="8B4C0B73"/>
    <w:multiLevelType w:val="singleLevel"/>
    <w:tmpl w:val="8B4C0B73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</w:abstractNum>
  <w:abstractNum w:abstractNumId="2">
    <w:nsid w:val="A01FF6D1"/>
    <w:multiLevelType w:val="multilevel"/>
    <w:tmpl w:val="A01FF6D1"/>
    <w:lvl w:ilvl="0">
      <w:start w:val="1"/>
      <w:numFmt w:val="decimal"/>
      <w:lvlText w:val="（%1）"/>
      <w:lvlJc w:val="left"/>
      <w:pPr>
        <w:ind w:left="115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4" w:hanging="420"/>
      </w:pPr>
    </w:lvl>
    <w:lvl w:ilvl="2">
      <w:start w:val="1"/>
      <w:numFmt w:val="lowerRoman"/>
      <w:lvlText w:val="%3."/>
      <w:lvlJc w:val="right"/>
      <w:pPr>
        <w:ind w:left="1904" w:hanging="420"/>
      </w:pPr>
    </w:lvl>
    <w:lvl w:ilvl="3">
      <w:start w:val="1"/>
      <w:numFmt w:val="decimal"/>
      <w:lvlText w:val="%4."/>
      <w:lvlJc w:val="left"/>
      <w:pPr>
        <w:ind w:left="2324" w:hanging="420"/>
      </w:pPr>
    </w:lvl>
    <w:lvl w:ilvl="4">
      <w:start w:val="1"/>
      <w:numFmt w:val="lowerLetter"/>
      <w:lvlText w:val="%5)"/>
      <w:lvlJc w:val="left"/>
      <w:pPr>
        <w:ind w:left="2744" w:hanging="420"/>
      </w:pPr>
    </w:lvl>
    <w:lvl w:ilvl="5">
      <w:start w:val="1"/>
      <w:numFmt w:val="lowerRoman"/>
      <w:lvlText w:val="%6."/>
      <w:lvlJc w:val="right"/>
      <w:pPr>
        <w:ind w:left="3164" w:hanging="420"/>
      </w:pPr>
    </w:lvl>
    <w:lvl w:ilvl="6">
      <w:start w:val="1"/>
      <w:numFmt w:val="decimal"/>
      <w:lvlText w:val="%7."/>
      <w:lvlJc w:val="left"/>
      <w:pPr>
        <w:ind w:left="3584" w:hanging="420"/>
      </w:pPr>
    </w:lvl>
    <w:lvl w:ilvl="7">
      <w:start w:val="1"/>
      <w:numFmt w:val="lowerLetter"/>
      <w:lvlText w:val="%8)"/>
      <w:lvlJc w:val="left"/>
      <w:pPr>
        <w:ind w:left="4004" w:hanging="420"/>
      </w:pPr>
    </w:lvl>
    <w:lvl w:ilvl="8">
      <w:start w:val="1"/>
      <w:numFmt w:val="lowerRoman"/>
      <w:lvlText w:val="%9."/>
      <w:lvlJc w:val="right"/>
      <w:pPr>
        <w:ind w:left="4424" w:hanging="420"/>
      </w:pPr>
    </w:lvl>
  </w:abstractNum>
  <w:abstractNum w:abstractNumId="3">
    <w:nsid w:val="088DF66D"/>
    <w:multiLevelType w:val="singleLevel"/>
    <w:tmpl w:val="088DF66D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</w:abstractNum>
  <w:abstractNum w:abstractNumId="4">
    <w:nsid w:val="096347E1"/>
    <w:multiLevelType w:val="multilevel"/>
    <w:tmpl w:val="096347E1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9B2622C"/>
    <w:multiLevelType w:val="singleLevel"/>
    <w:tmpl w:val="19B2622C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</w:abstractNum>
  <w:abstractNum w:abstractNumId="6">
    <w:nsid w:val="486B7671"/>
    <w:multiLevelType w:val="multilevel"/>
    <w:tmpl w:val="486B7671"/>
    <w:lvl w:ilvl="0">
      <w:start w:val="1"/>
      <w:numFmt w:val="decimal"/>
      <w:lvlText w:val="（%1）"/>
      <w:lvlJc w:val="left"/>
      <w:pPr>
        <w:ind w:left="144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abstractNum w:abstractNumId="7">
    <w:nsid w:val="5ABB74DC"/>
    <w:multiLevelType w:val="multilevel"/>
    <w:tmpl w:val="5ABB74DC"/>
    <w:lvl w:ilvl="0">
      <w:start w:val="1"/>
      <w:numFmt w:val="decimal"/>
      <w:lvlText w:val="%1."/>
      <w:lvlJc w:val="left"/>
      <w:pPr>
        <w:ind w:left="986" w:hanging="420"/>
      </w:p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abstractNum w:abstractNumId="8">
    <w:nsid w:val="5F6B48B7"/>
    <w:multiLevelType w:val="multilevel"/>
    <w:tmpl w:val="5F6B48B7"/>
    <w:lvl w:ilvl="0">
      <w:start w:val="1"/>
      <w:numFmt w:val="decimal"/>
      <w:lvlText w:val="%1."/>
      <w:lvlJc w:val="left"/>
      <w:pPr>
        <w:ind w:left="986" w:hanging="420"/>
      </w:p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abstractNum w:abstractNumId="9">
    <w:nsid w:val="6A574D0B"/>
    <w:multiLevelType w:val="multilevel"/>
    <w:tmpl w:val="6A574D0B"/>
    <w:lvl w:ilvl="0">
      <w:start w:val="1"/>
      <w:numFmt w:val="decimal"/>
      <w:lvlText w:val="（%1）"/>
      <w:lvlJc w:val="left"/>
      <w:pPr>
        <w:ind w:left="1091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6B113B94"/>
    <w:multiLevelType w:val="multilevel"/>
    <w:tmpl w:val="6B113B94"/>
    <w:lvl w:ilvl="0">
      <w:start w:val="1"/>
      <w:numFmt w:val="decimal"/>
      <w:lvlText w:val="%1."/>
      <w:lvlJc w:val="left"/>
      <w:pPr>
        <w:ind w:left="986" w:hanging="420"/>
      </w:p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abstractNum w:abstractNumId="11">
    <w:nsid w:val="73FB4509"/>
    <w:multiLevelType w:val="multilevel"/>
    <w:tmpl w:val="73FB4509"/>
    <w:lvl w:ilvl="0">
      <w:start w:val="1"/>
      <w:numFmt w:val="decimal"/>
      <w:lvlText w:val="%1."/>
      <w:lvlJc w:val="left"/>
      <w:pPr>
        <w:ind w:left="983" w:hanging="420"/>
      </w:pPr>
    </w:lvl>
    <w:lvl w:ilvl="1">
      <w:start w:val="1"/>
      <w:numFmt w:val="lowerLetter"/>
      <w:lvlText w:val="%2)"/>
      <w:lvlJc w:val="left"/>
      <w:pPr>
        <w:ind w:left="1403" w:hanging="420"/>
      </w:pPr>
    </w:lvl>
    <w:lvl w:ilvl="2">
      <w:start w:val="1"/>
      <w:numFmt w:val="lowerRoman"/>
      <w:lvlText w:val="%3."/>
      <w:lvlJc w:val="right"/>
      <w:pPr>
        <w:ind w:left="1823" w:hanging="420"/>
      </w:pPr>
    </w:lvl>
    <w:lvl w:ilvl="3">
      <w:start w:val="1"/>
      <w:numFmt w:val="decimal"/>
      <w:lvlText w:val="%4."/>
      <w:lvlJc w:val="left"/>
      <w:pPr>
        <w:ind w:left="2243" w:hanging="420"/>
      </w:pPr>
    </w:lvl>
    <w:lvl w:ilvl="4">
      <w:start w:val="1"/>
      <w:numFmt w:val="lowerLetter"/>
      <w:lvlText w:val="%5)"/>
      <w:lvlJc w:val="left"/>
      <w:pPr>
        <w:ind w:left="2663" w:hanging="420"/>
      </w:pPr>
    </w:lvl>
    <w:lvl w:ilvl="5">
      <w:start w:val="1"/>
      <w:numFmt w:val="lowerRoman"/>
      <w:lvlText w:val="%6."/>
      <w:lvlJc w:val="right"/>
      <w:pPr>
        <w:ind w:left="3083" w:hanging="420"/>
      </w:pPr>
    </w:lvl>
    <w:lvl w:ilvl="6">
      <w:start w:val="1"/>
      <w:numFmt w:val="decimal"/>
      <w:lvlText w:val="%7."/>
      <w:lvlJc w:val="left"/>
      <w:pPr>
        <w:ind w:left="3503" w:hanging="420"/>
      </w:pPr>
    </w:lvl>
    <w:lvl w:ilvl="7">
      <w:start w:val="1"/>
      <w:numFmt w:val="lowerLetter"/>
      <w:lvlText w:val="%8)"/>
      <w:lvlJc w:val="left"/>
      <w:pPr>
        <w:ind w:left="3923" w:hanging="420"/>
      </w:pPr>
    </w:lvl>
    <w:lvl w:ilvl="8">
      <w:start w:val="1"/>
      <w:numFmt w:val="lowerRoman"/>
      <w:lvlText w:val="%9."/>
      <w:lvlJc w:val="right"/>
      <w:pPr>
        <w:ind w:left="4343" w:hanging="420"/>
      </w:pPr>
    </w:lvl>
  </w:abstractNum>
  <w:abstractNum w:abstractNumId="12">
    <w:nsid w:val="798C52B2"/>
    <w:multiLevelType w:val="multilevel"/>
    <w:tmpl w:val="798C52B2"/>
    <w:lvl w:ilvl="0">
      <w:start w:val="1"/>
      <w:numFmt w:val="decimal"/>
      <w:lvlText w:val="（%1）"/>
      <w:lvlJc w:val="left"/>
      <w:pPr>
        <w:ind w:left="1445" w:hanging="735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484" w:hanging="420"/>
      </w:pPr>
    </w:lvl>
    <w:lvl w:ilvl="2">
      <w:start w:val="1"/>
      <w:numFmt w:val="lowerRoman"/>
      <w:lvlText w:val="%3."/>
      <w:lvlJc w:val="right"/>
      <w:pPr>
        <w:ind w:left="1904" w:hanging="420"/>
      </w:pPr>
    </w:lvl>
    <w:lvl w:ilvl="3">
      <w:start w:val="1"/>
      <w:numFmt w:val="decimal"/>
      <w:lvlText w:val="%4."/>
      <w:lvlJc w:val="left"/>
      <w:pPr>
        <w:ind w:left="2324" w:hanging="420"/>
      </w:pPr>
    </w:lvl>
    <w:lvl w:ilvl="4">
      <w:start w:val="1"/>
      <w:numFmt w:val="lowerLetter"/>
      <w:lvlText w:val="%5)"/>
      <w:lvlJc w:val="left"/>
      <w:pPr>
        <w:ind w:left="2744" w:hanging="420"/>
      </w:pPr>
    </w:lvl>
    <w:lvl w:ilvl="5">
      <w:start w:val="1"/>
      <w:numFmt w:val="lowerRoman"/>
      <w:lvlText w:val="%6."/>
      <w:lvlJc w:val="right"/>
      <w:pPr>
        <w:ind w:left="3164" w:hanging="420"/>
      </w:pPr>
    </w:lvl>
    <w:lvl w:ilvl="6">
      <w:start w:val="1"/>
      <w:numFmt w:val="decimal"/>
      <w:lvlText w:val="%7."/>
      <w:lvlJc w:val="left"/>
      <w:pPr>
        <w:ind w:left="3584" w:hanging="420"/>
      </w:pPr>
    </w:lvl>
    <w:lvl w:ilvl="7">
      <w:start w:val="1"/>
      <w:numFmt w:val="lowerLetter"/>
      <w:lvlText w:val="%8)"/>
      <w:lvlJc w:val="left"/>
      <w:pPr>
        <w:ind w:left="4004" w:hanging="420"/>
      </w:pPr>
    </w:lvl>
    <w:lvl w:ilvl="8">
      <w:start w:val="1"/>
      <w:numFmt w:val="lowerRoman"/>
      <w:lvlText w:val="%9."/>
      <w:lvlJc w:val="right"/>
      <w:pPr>
        <w:ind w:left="4424" w:hanging="42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12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 w:qFormat="1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next w:val="a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表格文字"/>
    <w:basedOn w:val="Normal"/>
    <w:qFormat/>
    <w:pPr>
      <w:widowControl/>
      <w:adjustRightInd w:val="0"/>
      <w:spacing w:line="420" w:lineRule="atLeast"/>
      <w:jc w:val="left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NormalWeb">
    <w:name w:val="Normal (Web)"/>
    <w:basedOn w:val="Normal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表段落1"/>
    <w:basedOn w:val="Normal"/>
    <w:uiPriority w:val="99"/>
    <w:qFormat/>
    <w:pPr>
      <w:ind w:firstLine="420"/>
    </w:pPr>
  </w:style>
  <w:style w:type="paragraph" w:customStyle="1" w:styleId="10">
    <w:name w:val="列出段落1"/>
    <w:basedOn w:val="Normal"/>
    <w:uiPriority w:val="34"/>
    <w:qFormat/>
    <w:pPr>
      <w:ind w:firstLine="420"/>
    </w:pPr>
  </w:style>
  <w:style w:type="paragraph" w:customStyle="1" w:styleId="ListParagraph">
    <w:name w:val="List Paragraph"/>
    <w:basedOn w:val="Normal"/>
    <w:uiPriority w:val="99"/>
    <w:qFormat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cp:lastPrinted>2019-04-22T02:29:00Z</cp:lastPrinted>
  <dcterms:created xsi:type="dcterms:W3CDTF">2019-01-11T08:58:00Z</dcterms:created>
  <dcterms:modified xsi:type="dcterms:W3CDTF">2022-12-15T07:27:36Z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