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基本材料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租赁申请、未出现否决项的保证书（参见附件3）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法定代表人授权委托书、法定代表人身份证复印件、被授权人身份证复印件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品牌商标注册证、代理或加盟品牌的授权书或预授权、品牌介绍资料。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经审计的近3年资产负债表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经审计的近3年利润表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经审计的近3年现金流量表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经审计的近3年营业收入表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银行资信证明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近半年银行存款余额证明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公司目前的开店证明：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1500万级以上机场的开店数量或柜台数量及证明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市区商圈开店数量或柜台数量及证明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经营方案：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eastAsia="zh-CN"/>
        </w:rPr>
        <w:t>①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eastAsia="zh-CN"/>
        </w:rPr>
        <w:t>复合业态、特产综合、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>单品牌特产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 xml:space="preserve">执行“同城同质同价”(航站楼提质改造项目完成之前执行机场审核价)。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  <w:t>须提供同城同质同价承诺书，承诺书将作为中选后签订合同的依据；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对标成都市区主流商圈的名称（春熙、太古里、宽窄巷子、锦里、环球中心等），对标店铺名称，对标店铺商品价目表等。</w:t>
      </w:r>
    </w:p>
    <w:p>
      <w:pPr>
        <w:pStyle w:val="a"/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lang w:val="en-US" w:eastAsia="zh-CN"/>
        </w:rPr>
        <w:t>②</w:t>
      </w:r>
      <w:r>
        <w:rPr>
          <w:rFonts w:hint="eastAsia"/>
          <w:b/>
          <w:bCs/>
          <w:lang w:val="en-US" w:eastAsia="zh-CN"/>
        </w:rPr>
        <w:t>品牌百货</w:t>
      </w:r>
      <w:r>
        <w:rPr>
          <w:rFonts w:hint="eastAsia"/>
          <w:lang w:val="en-US" w:eastAsia="zh-CN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>执行“同城同质同价”。</w:t>
      </w:r>
    </w:p>
    <w:p>
      <w:pPr>
        <w:spacing w:line="276" w:lineRule="auto"/>
        <w:rPr>
          <w:rFonts w:ascii="宋体" w:hAnsi="宋体" w:hint="eastAsia"/>
          <w:b/>
          <w:bCs/>
          <w:sz w:val="24"/>
          <w:szCs w:val="24"/>
          <w:lang w:val="en-US" w:eastAsia="zh-CN"/>
        </w:rPr>
      </w:pPr>
    </w:p>
    <w:p>
      <w:p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③</w:t>
      </w:r>
      <w:r>
        <w:rPr>
          <w:rFonts w:ascii="宋体" w:hAnsi="宋体" w:hint="eastAsia"/>
          <w:b/>
          <w:bCs/>
          <w:sz w:val="24"/>
          <w:szCs w:val="24"/>
          <w:lang w:val="en-US" w:eastAsia="zh-CN"/>
        </w:rPr>
        <w:t>餐饮类项目:</w:t>
      </w:r>
      <w:r>
        <w:rPr>
          <w:rFonts w:ascii="宋体" w:hAnsi="宋体" w:hint="eastAsia"/>
          <w:b/>
          <w:bCs/>
          <w:sz w:val="24"/>
          <w:szCs w:val="24"/>
        </w:rPr>
        <w:t>须提供同城同质同价承诺书，承诺书将作为中选后签订合同的依据；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承诺书中必须明确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lang w:val="en-US" w:eastAsia="zh-CN"/>
        </w:rPr>
        <w:t>餐厅定位，对标成都市区主流商圈的名称（春熙、太古里、宽窄巷子、锦里、环球中心等），对标餐厅名称，对标餐厅的餐饮价目表等。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装修效果图（或店铺实景图）及装修预算。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近5年获奖证明。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近2年投放媒体广告的情况。</w:t>
      </w:r>
    </w:p>
    <w:p>
      <w:pPr>
        <w:pStyle w:val="10"/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ListParagraph"/>
        <w:numPr>
          <w:ilvl w:val="0"/>
          <w:numId w:val="0"/>
        </w:num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6.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公司管理制度，明细如下：</w:t>
      </w:r>
    </w:p>
    <w:p>
      <w:pPr>
        <w:pStyle w:val="10"/>
        <w:numPr>
          <w:ilvl w:val="0"/>
          <w:numId w:val="0"/>
        </w:numPr>
        <w:spacing w:line="276" w:lineRule="auto"/>
        <w:ind w:firstLine="452"/>
        <w:rPr>
          <w:rFonts w:ascii="宋体" w:eastAsia="宋体" w:hAnsi="宋体" w:cs="仿宋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15"/>
          <w:szCs w:val="15"/>
          <w:lang w:val="en-US" w:eastAsia="zh-CN" w:bidi="ar-SA"/>
        </w:rPr>
        <w:t xml:space="preserve">●     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  <w:lang w:val="en-US" w:eastAsia="zh-CN" w:bidi="ar-SA"/>
        </w:rPr>
        <w:t>餐饮类</w:t>
      </w:r>
      <w:r>
        <w:rPr>
          <w:rFonts w:ascii="宋体" w:hAnsi="宋体" w:cs="仿宋" w:hint="eastAsia"/>
          <w:b/>
          <w:bCs/>
          <w:kern w:val="2"/>
          <w:sz w:val="24"/>
          <w:szCs w:val="24"/>
          <w:lang w:val="en-US" w:eastAsia="zh-CN" w:bidi="ar-SA"/>
        </w:rPr>
        <w:t>（含中式简餐、饮品甜点）</w:t>
      </w:r>
      <w:r>
        <w:rPr>
          <w:rFonts w:ascii="宋体" w:eastAsia="宋体" w:hAnsi="宋体" w:cs="仿宋" w:hint="eastAsia"/>
          <w:b/>
          <w:bCs/>
          <w:kern w:val="2"/>
          <w:sz w:val="24"/>
          <w:szCs w:val="24"/>
          <w:lang w:val="en-US" w:eastAsia="zh-CN" w:bidi="ar-SA"/>
        </w:rPr>
        <w:t>商家请提供以下管理制度：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卫生保洁制度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卫生知识培训制度和从业人员健康检查制度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卫生安全责任检查和追究制度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库房管理制度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食品进货查验记录制度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进出库台账制度、食品安全事故处理制度和报告制度等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食品中毒应急预案</w:t>
      </w:r>
    </w:p>
    <w:p>
      <w:pPr>
        <w:pStyle w:val="10"/>
        <w:numPr>
          <w:ilvl w:val="0"/>
          <w:numId w:val="6"/>
        </w:numPr>
        <w:ind w:left="1" w:firstLine="424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食品生产单位提供食品出厂检验记录制度、食品生产过程安全管理情</w:t>
      </w: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况记录等相关制度</w:t>
      </w:r>
    </w:p>
    <w:p>
      <w:pPr>
        <w:pStyle w:val="10"/>
        <w:numPr>
          <w:ilvl w:val="0"/>
          <w:numId w:val="6"/>
        </w:numPr>
        <w:ind w:left="1" w:firstLine="42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cs="仿宋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7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品牌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百货类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(含品牌百货）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8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机场商品定价方案</w:t>
      </w:r>
    </w:p>
    <w:p>
      <w:pPr>
        <w:pStyle w:val="10"/>
        <w:numPr>
          <w:ilvl w:val="0"/>
          <w:numId w:val="8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应急制度</w:t>
      </w:r>
    </w:p>
    <w:p>
      <w:pPr>
        <w:pStyle w:val="10"/>
        <w:numPr>
          <w:ilvl w:val="0"/>
          <w:numId w:val="8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9"/>
        </w:numPr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食品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特产类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（含特产综合、单品牌特产）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10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旅客必需品（快消品）供应及定价方案</w:t>
      </w:r>
    </w:p>
    <w:p>
      <w:pPr>
        <w:pStyle w:val="10"/>
        <w:numPr>
          <w:ilvl w:val="0"/>
          <w:numId w:val="10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食品进货查验记录制度</w:t>
      </w:r>
    </w:p>
    <w:p>
      <w:pPr>
        <w:pStyle w:val="10"/>
        <w:numPr>
          <w:ilvl w:val="0"/>
          <w:numId w:val="10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进出库台账制度、食品安全事故处理制度和报告制度等</w:t>
      </w:r>
    </w:p>
    <w:p>
      <w:pPr>
        <w:pStyle w:val="10"/>
        <w:numPr>
          <w:ilvl w:val="0"/>
          <w:numId w:val="10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食品中毒应急预案</w:t>
      </w:r>
    </w:p>
    <w:p>
      <w:pPr>
        <w:pStyle w:val="10"/>
        <w:numPr>
          <w:ilvl w:val="0"/>
          <w:numId w:val="10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11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休闲及其他类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（含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自助设备）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12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设备设施维修制度</w:t>
      </w:r>
    </w:p>
    <w:p>
      <w:pPr>
        <w:pStyle w:val="10"/>
        <w:numPr>
          <w:ilvl w:val="0"/>
          <w:numId w:val="12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设备缺货率管理制度</w:t>
      </w:r>
    </w:p>
    <w:p>
      <w:pPr>
        <w:pStyle w:val="10"/>
        <w:numPr>
          <w:ilvl w:val="0"/>
          <w:numId w:val="12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pStyle w:val="10"/>
        <w:numPr>
          <w:ilvl w:val="0"/>
          <w:numId w:val="12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应急制度</w:t>
      </w:r>
    </w:p>
    <w:p>
      <w:pPr>
        <w:pStyle w:val="10"/>
        <w:numPr>
          <w:ilvl w:val="0"/>
          <w:numId w:val="13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复合业态</w:t>
      </w:r>
    </w:p>
    <w:p>
      <w:pPr>
        <w:pStyle w:val="10"/>
        <w:numPr>
          <w:ilvl w:val="0"/>
          <w:numId w:val="0"/>
        </w:numPr>
        <w:spacing w:line="276" w:lineRule="auto"/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请按照以上标准，提供所投报业态的所有管理制度。</w:t>
      </w:r>
    </w:p>
    <w:p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6CC03A"/>
    <w:multiLevelType w:val="singleLevel"/>
    <w:tmpl w:val="896CC03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1">
    <w:nsid w:val="8B4C0B73"/>
    <w:multiLevelType w:val="singleLevel"/>
    <w:tmpl w:val="8B4C0B7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2">
    <w:nsid w:val="A01FF6D1"/>
    <w:multiLevelType w:val="multilevel"/>
    <w:tmpl w:val="A01FF6D1"/>
    <w:lvl w:ilvl="0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3">
    <w:nsid w:val="088DF66D"/>
    <w:multiLevelType w:val="singleLevel"/>
    <w:tmpl w:val="088DF66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4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B2622C"/>
    <w:multiLevelType w:val="singleLevel"/>
    <w:tmpl w:val="19B2622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6">
    <w:nsid w:val="486B7671"/>
    <w:multiLevelType w:val="multilevel"/>
    <w:tmpl w:val="486B7671"/>
    <w:lvl w:ilvl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7">
    <w:nsid w:val="5ABB74DC"/>
    <w:multiLevelType w:val="multilevel"/>
    <w:tmpl w:val="5ABB74DC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8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6A574D0B"/>
    <w:multiLevelType w:val="multilevel"/>
    <w:tmpl w:val="6A574D0B"/>
    <w:lvl w:ilvl="0">
      <w:start w:val="1"/>
      <w:numFmt w:val="decimal"/>
      <w:lvlText w:val="（%1）"/>
      <w:lvlJc w:val="left"/>
      <w:pPr>
        <w:ind w:left="109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83" w:hanging="420"/>
      </w:pPr>
    </w:lvl>
    <w:lvl w:ilvl="1">
      <w:start w:val="1"/>
      <w:numFmt w:val="lowerLetter"/>
      <w:lvlText w:val="%2)"/>
      <w:lvlJc w:val="left"/>
      <w:pPr>
        <w:ind w:left="1403" w:hanging="420"/>
      </w:pPr>
    </w:lvl>
    <w:lvl w:ilvl="2">
      <w:start w:val="1"/>
      <w:numFmt w:val="lowerRoman"/>
      <w:lvlText w:val="%3."/>
      <w:lvlJc w:val="right"/>
      <w:pPr>
        <w:ind w:left="1823" w:hanging="420"/>
      </w:pPr>
    </w:lvl>
    <w:lvl w:ilvl="3">
      <w:start w:val="1"/>
      <w:numFmt w:val="decimal"/>
      <w:lvlText w:val="%4."/>
      <w:lvlJc w:val="left"/>
      <w:pPr>
        <w:ind w:left="2243" w:hanging="420"/>
      </w:pPr>
    </w:lvl>
    <w:lvl w:ilvl="4">
      <w:start w:val="1"/>
      <w:numFmt w:val="lowerLetter"/>
      <w:lvlText w:val="%5)"/>
      <w:lvlJc w:val="left"/>
      <w:pPr>
        <w:ind w:left="2663" w:hanging="420"/>
      </w:pPr>
    </w:lvl>
    <w:lvl w:ilvl="5">
      <w:start w:val="1"/>
      <w:numFmt w:val="lowerRoman"/>
      <w:lvlText w:val="%6."/>
      <w:lvlJc w:val="right"/>
      <w:pPr>
        <w:ind w:left="3083" w:hanging="420"/>
      </w:pPr>
    </w:lvl>
    <w:lvl w:ilvl="6">
      <w:start w:val="1"/>
      <w:numFmt w:val="decimal"/>
      <w:lvlText w:val="%7."/>
      <w:lvlJc w:val="left"/>
      <w:pPr>
        <w:ind w:left="3503" w:hanging="420"/>
      </w:pPr>
    </w:lvl>
    <w:lvl w:ilvl="7">
      <w:start w:val="1"/>
      <w:numFmt w:val="lowerLetter"/>
      <w:lvlText w:val="%8)"/>
      <w:lvlJc w:val="left"/>
      <w:pPr>
        <w:ind w:left="3923" w:hanging="420"/>
      </w:pPr>
    </w:lvl>
    <w:lvl w:ilvl="8">
      <w:start w:val="1"/>
      <w:numFmt w:val="lowerRoman"/>
      <w:lvlText w:val="%9."/>
      <w:lvlJc w:val="right"/>
      <w:pPr>
        <w:ind w:left="4343" w:hanging="420"/>
      </w:pPr>
    </w:lvl>
  </w:abstractNum>
  <w:abstractNum w:abstractNumId="12">
    <w:nsid w:val="798C52B2"/>
    <w:multiLevelType w:val="multilevel"/>
    <w:tmpl w:val="798C52B2"/>
    <w:lvl w:ilvl="0">
      <w:start w:val="1"/>
      <w:numFmt w:val="decimal"/>
      <w:lvlText w:val="（%1）"/>
      <w:lvlJc w:val="left"/>
      <w:pPr>
        <w:ind w:left="1445" w:hanging="73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Normal"/>
    <w:uiPriority w:val="99"/>
    <w:qFormat/>
    <w:pPr>
      <w:ind w:firstLine="420"/>
    </w:pPr>
  </w:style>
  <w:style w:type="paragraph" w:customStyle="1" w:styleId="10">
    <w:name w:val="列出段落1"/>
    <w:basedOn w:val="Normal"/>
    <w:uiPriority w:val="34"/>
    <w:qFormat/>
    <w:pPr>
      <w:ind w:firstLine="420"/>
    </w:pPr>
  </w:style>
  <w:style w:type="paragraph" w:customStyle="1" w:styleId="ListParagraph">
    <w:name w:val="List Paragraph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2019-04-22T02:29:00Z</cp:lastPrinted>
  <dcterms:created xsi:type="dcterms:W3CDTF">2019-01-11T08:58:00Z</dcterms:created>
  <dcterms:modified xsi:type="dcterms:W3CDTF">2022-12-15T07:27:36Z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