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6.5.0.0 -->
  <w:body>
    <w:p>
      <w:pPr>
        <w:pStyle w:val="Title"/>
        <w:jc w:val="both"/>
        <w:rPr>
          <w:rFonts w:ascii="宋体" w:hAnsi="宋体"/>
          <w:sz w:val="24"/>
          <w:szCs w:val="24"/>
        </w:rPr>
      </w:pPr>
      <w:r>
        <w:rPr>
          <w:rFonts w:ascii="宋体" w:hAnsi="宋体" w:hint="eastAsia"/>
          <w:sz w:val="24"/>
          <w:szCs w:val="24"/>
        </w:rPr>
        <w:t>附件2：</w:t>
      </w:r>
    </w:p>
    <w:p>
      <w:pPr>
        <w:pStyle w:val="Title"/>
        <w:jc w:val="center"/>
        <w:rPr>
          <w:rFonts w:ascii="宋体" w:hAnsi="宋体" w:cs="宋体" w:hint="eastAsia"/>
          <w:bCs w:val="0"/>
          <w:kern w:val="0"/>
        </w:rPr>
      </w:pPr>
      <w:r>
        <w:rPr>
          <w:rFonts w:ascii="宋体" w:hAnsi="宋体" w:cs="宋体" w:hint="eastAsia"/>
          <w:bCs w:val="0"/>
          <w:kern w:val="0"/>
        </w:rPr>
        <w:t>报价单</w:t>
      </w:r>
    </w:p>
    <w:p/>
    <w:p>
      <w:pPr>
        <w:spacing w:line="480" w:lineRule="auto"/>
        <w:ind w:left="-4536" w:firstLine="4554"/>
        <w:rPr>
          <w:rFonts w:asciiTheme="minorEastAsia" w:eastAsiaTheme="minorEastAsia" w:hAnsiTheme="minorEastAsia" w:cstheme="minorEastAsia" w:hint="eastAsia"/>
          <w:b/>
          <w:sz w:val="24"/>
          <w:szCs w:val="24"/>
          <w:u w:val="single"/>
        </w:rPr>
      </w:pPr>
      <w:r>
        <w:rPr>
          <w:rFonts w:asciiTheme="minorEastAsia" w:eastAsiaTheme="minorEastAsia" w:hAnsiTheme="minorEastAsia" w:cstheme="minorEastAsia" w:hint="eastAsia"/>
          <w:b/>
          <w:sz w:val="24"/>
          <w:szCs w:val="24"/>
        </w:rPr>
        <w:t>公司名称:</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right="0" w:firstLine="420"/>
        <w:jc w:val="both"/>
        <w:textAlignment w:val="auto"/>
        <w:outlineLvl w:val="9"/>
        <w:rPr>
          <w:rFonts w:asciiTheme="minorEastAsia" w:eastAsiaTheme="minorEastAsia" w:hAnsiTheme="minorEastAsia" w:cstheme="minorEastAsia" w:hint="eastAsia"/>
          <w:b/>
          <w:sz w:val="24"/>
          <w:szCs w:val="24"/>
        </w:rPr>
      </w:pPr>
      <w:r>
        <w:rPr>
          <w:rFonts w:asciiTheme="minorEastAsia" w:eastAsiaTheme="minorEastAsia" w:hAnsiTheme="minorEastAsia" w:cstheme="minorEastAsia" w:hint="eastAsia"/>
          <w:b/>
          <w:sz w:val="24"/>
          <w:szCs w:val="24"/>
          <w:lang w:eastAsia="zh-CN"/>
        </w:rPr>
        <w:t>标段</w:t>
      </w:r>
      <w:r>
        <w:rPr>
          <w:rFonts w:asciiTheme="minorEastAsia" w:eastAsiaTheme="minorEastAsia" w:hAnsiTheme="minorEastAsia" w:cstheme="minorEastAsia" w:hint="eastAsia"/>
          <w:b/>
          <w:sz w:val="24"/>
          <w:szCs w:val="24"/>
        </w:rPr>
        <w:t>编号或项目名称:</w:t>
      </w:r>
      <w:r>
        <w:rPr>
          <w:rFonts w:asciiTheme="minorEastAsia" w:eastAsiaTheme="minorEastAsia" w:hAnsiTheme="minorEastAsia" w:cstheme="minorEastAsia" w:hint="eastAsia"/>
          <w:b/>
          <w:sz w:val="24"/>
          <w:szCs w:val="24"/>
          <w:u w:val="single"/>
          <w:lang w:val="en-US" w:eastAsia="zh-CN"/>
        </w:rPr>
        <w:t xml:space="preserve">                          </w:t>
      </w:r>
    </w:p>
    <w:p>
      <w:pPr>
        <w:numPr>
          <w:ilvl w:val="0"/>
          <w:numId w:val="0"/>
        </w:numPr>
        <w:spacing w:line="480" w:lineRule="auto"/>
        <w:rPr>
          <w:rFonts w:asciiTheme="minorEastAsia" w:eastAsiaTheme="minorEastAsia" w:hAnsiTheme="minorEastAsia" w:cstheme="minorEastAsia" w:hint="eastAsia"/>
          <w:b/>
          <w:sz w:val="24"/>
          <w:szCs w:val="24"/>
        </w:rPr>
      </w:pPr>
      <w:r>
        <w:rPr>
          <w:rFonts w:asciiTheme="minorEastAsia" w:eastAsiaTheme="minorEastAsia" w:hAnsiTheme="minorEastAsia" w:cstheme="minorEastAsia" w:hint="eastAsia"/>
          <w:b/>
          <w:color w:val="0000FF"/>
          <w:sz w:val="24"/>
          <w:szCs w:val="24"/>
          <w:shd w:val="clear" w:color="auto" w:fill="FFFFFF"/>
          <w:lang w:eastAsia="zh-CN"/>
        </w:rPr>
        <w:t>（商家请认真填写申报的标段号，错报标段号视为报名无效，不予评分。</w:t>
      </w:r>
      <w:r>
        <w:rPr>
          <w:rFonts w:asciiTheme="minorEastAsia" w:eastAsiaTheme="minorEastAsia" w:hAnsiTheme="minorEastAsia" w:cstheme="minorEastAsia" w:hint="eastAsia"/>
          <w:b/>
          <w:color w:val="0000FF"/>
          <w:sz w:val="24"/>
          <w:szCs w:val="24"/>
          <w:shd w:val="clear" w:color="auto" w:fill="FFFFFF"/>
          <w:lang w:val="en-US" w:eastAsia="zh-CN"/>
        </w:rPr>
        <w:t>)</w:t>
      </w:r>
    </w:p>
    <w:p>
      <w:pPr>
        <w:numPr>
          <w:ilvl w:val="0"/>
          <w:numId w:val="0"/>
        </w:numPr>
        <w:spacing w:line="480" w:lineRule="auto"/>
        <w:rPr>
          <w:rFonts w:asciiTheme="minorEastAsia" w:eastAsiaTheme="minorEastAsia" w:hAnsiTheme="minorEastAsia" w:cstheme="minorEastAsia" w:hint="eastAsia"/>
          <w:b/>
          <w:sz w:val="24"/>
          <w:szCs w:val="24"/>
        </w:rPr>
      </w:pPr>
    </w:p>
    <w:p>
      <w:pPr>
        <w:numPr>
          <w:ilvl w:val="0"/>
          <w:numId w:val="0"/>
        </w:numPr>
        <w:spacing w:line="480" w:lineRule="auto"/>
        <w:rPr>
          <w:rFonts w:asciiTheme="minorEastAsia" w:eastAsiaTheme="minorEastAsia" w:hAnsiTheme="minorEastAsia" w:cstheme="minorEastAsia" w:hint="eastAsia"/>
          <w:b/>
          <w:sz w:val="24"/>
          <w:szCs w:val="24"/>
        </w:rPr>
      </w:pPr>
      <w:r>
        <w:rPr>
          <w:rFonts w:asciiTheme="minorEastAsia" w:eastAsiaTheme="minorEastAsia" w:hAnsiTheme="minorEastAsia" w:cstheme="minorEastAsia" w:hint="eastAsia"/>
          <w:b/>
          <w:sz w:val="24"/>
          <w:szCs w:val="24"/>
        </w:rPr>
        <w:t>报价：保底</w:t>
      </w:r>
      <w:r>
        <w:rPr>
          <w:rFonts w:asciiTheme="minorEastAsia" w:eastAsiaTheme="minorEastAsia" w:hAnsiTheme="minorEastAsia" w:cstheme="minorEastAsia" w:hint="eastAsia"/>
          <w:b/>
          <w:sz w:val="24"/>
          <w:szCs w:val="24"/>
          <w:lang w:eastAsia="zh-CN"/>
        </w:rPr>
        <w:t>经营费用￥</w:t>
      </w:r>
      <w:r>
        <w:rPr>
          <w:rFonts w:asciiTheme="minorEastAsia" w:eastAsiaTheme="minorEastAsia" w:hAnsiTheme="minorEastAsia" w:cstheme="minorEastAsia" w:hint="eastAsia"/>
          <w:b/>
          <w:sz w:val="24"/>
          <w:szCs w:val="24"/>
          <w:u w:val="single"/>
        </w:rPr>
        <w:t xml:space="preserve">      </w:t>
      </w:r>
      <w:r>
        <w:rPr>
          <w:rFonts w:asciiTheme="minorEastAsia" w:eastAsiaTheme="minorEastAsia" w:hAnsiTheme="minorEastAsia" w:cstheme="minorEastAsia" w:hint="eastAsia"/>
          <w:b/>
          <w:sz w:val="24"/>
          <w:szCs w:val="24"/>
        </w:rPr>
        <w:t>元/平米/月，</w:t>
      </w:r>
    </w:p>
    <w:p>
      <w:pPr>
        <w:pStyle w:val="a"/>
        <w:rPr>
          <w:rFonts w:hint="eastAsia"/>
          <w:lang w:eastAsia="zh-CN"/>
        </w:rPr>
      </w:pPr>
    </w:p>
    <w:p>
      <w:pPr>
        <w:spacing w:line="600" w:lineRule="auto"/>
        <w:ind w:firstLine="723"/>
        <w:rPr>
          <w:rFonts w:asciiTheme="minorEastAsia" w:eastAsiaTheme="minorEastAsia" w:hAnsiTheme="minorEastAsia" w:cstheme="minorEastAsia" w:hint="eastAsia"/>
          <w:b/>
          <w:sz w:val="24"/>
          <w:szCs w:val="24"/>
          <w:u w:val="single"/>
        </w:rPr>
      </w:pPr>
      <w:r>
        <w:rPr>
          <w:rFonts w:asciiTheme="minorEastAsia" w:eastAsiaTheme="minorEastAsia" w:hAnsiTheme="minorEastAsia" w:cstheme="minorEastAsia" w:hint="eastAsia"/>
          <w:b/>
          <w:sz w:val="24"/>
          <w:szCs w:val="24"/>
          <w:u w:val="none"/>
          <w:lang w:val="en-US" w:eastAsia="zh-CN"/>
        </w:rPr>
        <w:t>烟草类经营面积：</w:t>
      </w:r>
      <w:r>
        <w:rPr>
          <w:rFonts w:asciiTheme="minorEastAsia" w:eastAsiaTheme="minorEastAsia" w:hAnsiTheme="minorEastAsia" w:cstheme="minorEastAsia" w:hint="eastAsia"/>
          <w:b/>
          <w:sz w:val="24"/>
          <w:szCs w:val="24"/>
          <w:u w:val="single"/>
        </w:rPr>
        <w:t xml:space="preserve">         </w:t>
      </w:r>
      <w:r>
        <w:rPr>
          <w:rFonts w:asciiTheme="minorEastAsia" w:eastAsiaTheme="minorEastAsia" w:hAnsiTheme="minorEastAsia" w:cstheme="minorEastAsia" w:hint="eastAsia"/>
          <w:b/>
          <w:sz w:val="24"/>
          <w:szCs w:val="24"/>
          <w:u w:val="none"/>
          <w:lang w:eastAsia="zh-CN"/>
        </w:rPr>
        <w:t>，</w:t>
      </w:r>
      <w:r>
        <w:rPr>
          <w:rFonts w:asciiTheme="minorEastAsia" w:eastAsiaTheme="minorEastAsia" w:hAnsiTheme="minorEastAsia" w:cstheme="minorEastAsia" w:hint="eastAsia"/>
          <w:b/>
          <w:sz w:val="24"/>
          <w:szCs w:val="24"/>
          <w:lang w:eastAsia="zh-CN"/>
        </w:rPr>
        <w:t>烟草类销售额提成率</w:t>
      </w:r>
      <w:r>
        <w:rPr>
          <w:rFonts w:asciiTheme="minorEastAsia" w:eastAsiaTheme="minorEastAsia" w:hAnsiTheme="minorEastAsia" w:cstheme="minorEastAsia" w:hint="eastAsia"/>
          <w:b/>
          <w:sz w:val="24"/>
          <w:szCs w:val="24"/>
          <w:u w:val="single"/>
          <w:lang w:val="en-US" w:eastAsia="zh-CN"/>
        </w:rPr>
        <w:t xml:space="preserve">       %</w:t>
      </w:r>
      <w:r>
        <w:rPr>
          <w:rFonts w:asciiTheme="minorEastAsia" w:eastAsiaTheme="minorEastAsia" w:hAnsiTheme="minorEastAsia" w:cstheme="minorEastAsia" w:hint="eastAsia"/>
          <w:b/>
          <w:sz w:val="24"/>
          <w:szCs w:val="24"/>
          <w:lang w:val="en-US" w:eastAsia="zh-CN"/>
        </w:rPr>
        <w:t xml:space="preserve"> ，</w:t>
      </w:r>
    </w:p>
    <w:p>
      <w:pPr>
        <w:numPr>
          <w:ilvl w:val="0"/>
          <w:numId w:val="0"/>
        </w:numPr>
        <w:spacing w:line="480" w:lineRule="auto"/>
        <w:ind w:firstLine="723"/>
        <w:rPr>
          <w:rFonts w:asciiTheme="minorEastAsia" w:eastAsiaTheme="minorEastAsia" w:hAnsiTheme="minorEastAsia" w:cstheme="minorEastAsia" w:hint="eastAsia"/>
          <w:b/>
          <w:sz w:val="24"/>
          <w:szCs w:val="24"/>
          <w:u w:val="none"/>
          <w:lang w:eastAsia="zh-CN"/>
        </w:rPr>
      </w:pPr>
      <w:r>
        <w:rPr>
          <w:rFonts w:asciiTheme="minorEastAsia" w:eastAsiaTheme="minorEastAsia" w:hAnsiTheme="minorEastAsia" w:cstheme="minorEastAsia" w:hint="eastAsia"/>
          <w:b/>
          <w:sz w:val="24"/>
          <w:szCs w:val="24"/>
          <w:u w:val="none"/>
          <w:lang w:val="en-US" w:eastAsia="zh-CN"/>
        </w:rPr>
        <w:t>其他类经营面积：</w:t>
      </w:r>
      <w:r>
        <w:rPr>
          <w:rFonts w:asciiTheme="minorEastAsia" w:eastAsiaTheme="minorEastAsia" w:hAnsiTheme="minorEastAsia" w:cstheme="minorEastAsia" w:hint="eastAsia"/>
          <w:b/>
          <w:sz w:val="24"/>
          <w:szCs w:val="24"/>
          <w:u w:val="single"/>
        </w:rPr>
        <w:t xml:space="preserve">         </w:t>
      </w:r>
      <w:r>
        <w:rPr>
          <w:rFonts w:asciiTheme="minorEastAsia" w:eastAsiaTheme="minorEastAsia" w:hAnsiTheme="minorEastAsia" w:cstheme="minorEastAsia" w:hint="eastAsia"/>
          <w:b/>
          <w:sz w:val="24"/>
          <w:szCs w:val="24"/>
          <w:u w:val="none"/>
          <w:lang w:eastAsia="zh-CN"/>
        </w:rPr>
        <w:t>，</w:t>
      </w:r>
      <w:r>
        <w:rPr>
          <w:rFonts w:asciiTheme="minorEastAsia" w:eastAsiaTheme="minorEastAsia" w:hAnsiTheme="minorEastAsia" w:cstheme="minorEastAsia" w:hint="eastAsia"/>
          <w:b/>
          <w:sz w:val="24"/>
          <w:szCs w:val="24"/>
          <w:lang w:val="en-US" w:eastAsia="zh-CN"/>
        </w:rPr>
        <w:t>其它类</w:t>
      </w:r>
      <w:r>
        <w:rPr>
          <w:rFonts w:asciiTheme="minorEastAsia" w:eastAsiaTheme="minorEastAsia" w:hAnsiTheme="minorEastAsia" w:cstheme="minorEastAsia" w:hint="eastAsia"/>
          <w:b/>
          <w:sz w:val="24"/>
          <w:szCs w:val="24"/>
        </w:rPr>
        <w:t>销售额提成率</w:t>
      </w:r>
      <w:r>
        <w:rPr>
          <w:rFonts w:asciiTheme="minorEastAsia" w:eastAsiaTheme="minorEastAsia" w:hAnsiTheme="minorEastAsia" w:cstheme="minorEastAsia" w:hint="eastAsia"/>
          <w:b/>
          <w:sz w:val="24"/>
          <w:szCs w:val="24"/>
          <w:u w:val="single"/>
        </w:rPr>
        <w:t xml:space="preserve">      </w:t>
      </w:r>
      <w:r>
        <w:rPr>
          <w:rFonts w:asciiTheme="minorEastAsia" w:eastAsiaTheme="minorEastAsia" w:hAnsiTheme="minorEastAsia" w:cstheme="minorEastAsia" w:hint="eastAsia"/>
          <w:b/>
          <w:sz w:val="24"/>
          <w:szCs w:val="24"/>
          <w:u w:val="single"/>
          <w:lang w:val="en-US" w:eastAsia="zh-CN"/>
        </w:rPr>
        <w:t xml:space="preserve"> </w:t>
      </w:r>
      <w:r>
        <w:rPr>
          <w:rFonts w:asciiTheme="minorEastAsia" w:eastAsiaTheme="minorEastAsia" w:hAnsiTheme="minorEastAsia" w:cstheme="minorEastAsia" w:hint="eastAsia"/>
          <w:b/>
          <w:sz w:val="24"/>
          <w:szCs w:val="24"/>
          <w:u w:val="single"/>
        </w:rPr>
        <w:t>%</w:t>
      </w:r>
      <w:r>
        <w:rPr>
          <w:rFonts w:asciiTheme="minorEastAsia" w:eastAsiaTheme="minorEastAsia" w:hAnsiTheme="minorEastAsia" w:cstheme="minorEastAsia" w:hint="eastAsia"/>
          <w:b/>
          <w:sz w:val="24"/>
          <w:szCs w:val="24"/>
          <w:u w:val="none"/>
          <w:lang w:eastAsia="zh-CN"/>
        </w:rPr>
        <w:t>。</w:t>
      </w:r>
    </w:p>
    <w:p>
      <w:pPr>
        <w:spacing w:line="600" w:lineRule="auto"/>
        <w:ind w:firstLine="723"/>
        <w:rPr>
          <w:rFonts w:asciiTheme="minorEastAsia" w:eastAsiaTheme="minorEastAsia" w:hAnsiTheme="minorEastAsia" w:cstheme="minorEastAsia" w:hint="eastAsia"/>
          <w:b/>
          <w:sz w:val="24"/>
          <w:szCs w:val="24"/>
          <w:u w:val="none"/>
          <w:lang w:eastAsia="zh-CN"/>
        </w:rPr>
      </w:pPr>
    </w:p>
    <w:p>
      <w:pPr>
        <w:pStyle w:val="a"/>
        <w:rPr>
          <w:rFonts w:hint="eastAsia"/>
          <w:lang w:val="en-US" w:eastAsia="zh-CN"/>
        </w:rPr>
      </w:pPr>
    </w:p>
    <w:p>
      <w:pPr>
        <w:numPr>
          <w:ilvl w:val="0"/>
          <w:numId w:val="1"/>
        </w:numPr>
        <w:spacing w:line="720" w:lineRule="auto"/>
        <w:ind w:left="0" w:firstLine="420"/>
        <w:rPr>
          <w:rFonts w:asciiTheme="minorEastAsia" w:eastAsiaTheme="minorEastAsia" w:hAnsiTheme="minorEastAsia" w:cstheme="minorEastAsia" w:hint="eastAsia"/>
          <w:b/>
          <w:sz w:val="24"/>
          <w:szCs w:val="24"/>
          <w:lang w:eastAsia="zh-CN"/>
        </w:rPr>
      </w:pPr>
      <w:r>
        <w:rPr>
          <w:rFonts w:asciiTheme="minorEastAsia" w:eastAsiaTheme="minorEastAsia" w:hAnsiTheme="minorEastAsia" w:cstheme="minorEastAsia" w:hint="eastAsia"/>
          <w:b/>
          <w:sz w:val="24"/>
          <w:szCs w:val="24"/>
        </w:rPr>
        <w:t>经营期限:</w:t>
      </w:r>
      <w:r>
        <w:rPr>
          <w:rFonts w:asciiTheme="minorEastAsia" w:eastAsiaTheme="minorEastAsia" w:hAnsiTheme="minorEastAsia" w:cstheme="minorEastAsia" w:hint="eastAsia"/>
          <w:b/>
          <w:sz w:val="24"/>
          <w:szCs w:val="24"/>
          <w:u w:val="single"/>
        </w:rPr>
        <w:t xml:space="preserve">        </w:t>
      </w:r>
      <w:r>
        <w:rPr>
          <w:rFonts w:asciiTheme="minorEastAsia" w:eastAsiaTheme="minorEastAsia" w:hAnsiTheme="minorEastAsia" w:cstheme="minorEastAsia" w:hint="eastAsia"/>
          <w:b/>
          <w:sz w:val="24"/>
          <w:szCs w:val="24"/>
          <w:u w:val="single"/>
          <w:lang w:val="en-US" w:eastAsia="zh-CN"/>
        </w:rPr>
        <w:t xml:space="preserve"> </w:t>
      </w:r>
      <w:r>
        <w:rPr>
          <w:rFonts w:asciiTheme="minorEastAsia" w:eastAsiaTheme="minorEastAsia" w:hAnsiTheme="minorEastAsia" w:cstheme="minorEastAsia" w:hint="eastAsia"/>
          <w:b/>
          <w:sz w:val="24"/>
          <w:szCs w:val="24"/>
        </w:rPr>
        <w:t>年(</w:t>
      </w:r>
      <w:r>
        <w:rPr>
          <w:rFonts w:asciiTheme="minorEastAsia" w:eastAsiaTheme="minorEastAsia" w:hAnsiTheme="minorEastAsia" w:cstheme="minorEastAsia" w:hint="eastAsia"/>
          <w:b/>
          <w:sz w:val="24"/>
          <w:szCs w:val="24"/>
          <w:lang w:val="en-US" w:eastAsia="zh-CN"/>
        </w:rPr>
        <w:t>1-5年，</w:t>
      </w:r>
      <w:r>
        <w:rPr>
          <w:rFonts w:asciiTheme="minorEastAsia" w:eastAsiaTheme="minorEastAsia" w:hAnsiTheme="minorEastAsia" w:cstheme="minorEastAsia" w:hint="eastAsia"/>
          <w:b/>
          <w:sz w:val="24"/>
          <w:szCs w:val="24"/>
        </w:rPr>
        <w:t>商家自行选择填报)</w:t>
      </w:r>
    </w:p>
    <w:p>
      <w:pPr>
        <w:pStyle w:val="NormalWeb"/>
        <w:keepNext w:val="0"/>
        <w:keepLines w:val="0"/>
        <w:pageBreakBefore w:val="0"/>
        <w:kinsoku/>
        <w:wordWrap/>
        <w:overflowPunct/>
        <w:topLinePunct w:val="0"/>
        <w:autoSpaceDE/>
        <w:autoSpaceDN/>
        <w:bidi w:val="0"/>
        <w:adjustRightInd/>
        <w:snapToGrid/>
        <w:spacing w:before="0" w:beforeAutospacing="0" w:after="0" w:afterAutospacing="0" w:line="480" w:lineRule="auto"/>
        <w:ind w:right="0" w:firstLine="482"/>
        <w:textAlignment w:val="auto"/>
        <w:outlineLvl w:val="9"/>
        <w:rPr>
          <w:rFonts w:hint="eastAsia"/>
          <w:b/>
          <w:bCs/>
          <w:color w:val="auto"/>
          <w:sz w:val="24"/>
          <w:szCs w:val="24"/>
          <w:highlight w:val="none"/>
          <w:shd w:val="clear" w:color="auto" w:fill="FFFFFF"/>
          <w:lang w:eastAsia="zh-CN"/>
        </w:rPr>
      </w:pPr>
    </w:p>
    <w:p>
      <w:pPr>
        <w:pStyle w:val="NormalWeb"/>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2"/>
        <w:textAlignment w:val="auto"/>
        <w:rPr>
          <w:rFonts w:ascii="Times New Roman" w:hAnsi="Times New Roman" w:hint="eastAsia"/>
          <w:b w:val="0"/>
          <w:bCs/>
          <w:color w:val="auto"/>
          <w:sz w:val="24"/>
          <w:szCs w:val="24"/>
          <w:highlight w:val="none"/>
          <w:shd w:val="clear" w:color="auto" w:fill="FFFFFF"/>
          <w:lang w:val="en-US" w:eastAsia="zh-CN"/>
        </w:rPr>
      </w:pPr>
      <w:r>
        <w:rPr>
          <w:rFonts w:hint="eastAsia"/>
          <w:b/>
          <w:bCs/>
          <w:color w:val="auto"/>
          <w:sz w:val="24"/>
          <w:szCs w:val="24"/>
          <w:highlight w:val="none"/>
          <w:shd w:val="clear" w:color="auto" w:fill="FFFFFF"/>
          <w:lang w:eastAsia="zh-CN"/>
        </w:rPr>
        <w:t>提示：</w:t>
      </w:r>
      <w:r>
        <w:rPr>
          <w:rFonts w:hint="eastAsia"/>
          <w:b w:val="0"/>
          <w:bCs w:val="0"/>
          <w:color w:val="auto"/>
          <w:sz w:val="24"/>
          <w:szCs w:val="24"/>
          <w:highlight w:val="none"/>
          <w:shd w:val="clear" w:color="auto" w:fill="FFFFFF"/>
          <w:lang w:eastAsia="zh-CN"/>
        </w:rPr>
        <w:t>由于天府新机场已</w:t>
      </w:r>
      <w:r>
        <w:rPr>
          <w:rFonts w:hint="eastAsia"/>
          <w:b w:val="0"/>
          <w:bCs w:val="0"/>
          <w:color w:val="auto"/>
          <w:sz w:val="24"/>
          <w:szCs w:val="24"/>
          <w:highlight w:val="none"/>
          <w:shd w:val="clear" w:color="auto" w:fill="FFFFFF"/>
          <w:lang w:val="en-US" w:eastAsia="zh-CN"/>
        </w:rPr>
        <w:t>启用，部分航班明年3月将完成最后转场，届时可能对本场客流量造成一定影响。</w:t>
      </w:r>
      <w:r>
        <w:rPr>
          <w:rFonts w:ascii="Times New Roman" w:hAnsi="Times New Roman" w:hint="eastAsia"/>
          <w:b w:val="0"/>
          <w:bCs/>
          <w:color w:val="auto"/>
          <w:sz w:val="24"/>
          <w:szCs w:val="24"/>
          <w:highlight w:val="none"/>
          <w:shd w:val="clear" w:color="auto" w:fill="FFFFFF"/>
          <w:lang w:val="en-US" w:eastAsia="zh-CN"/>
        </w:rPr>
        <w:t>T1航站楼国内区域计划于2023年上半年择期关闭改造，届时川航将搬至D指廊、CD连廊运行，预计</w:t>
      </w:r>
      <w:bookmarkStart w:id="0" w:name="_GoBack"/>
      <w:bookmarkEnd w:id="0"/>
      <w:r>
        <w:rPr>
          <w:rFonts w:ascii="Times New Roman" w:hAnsi="Times New Roman" w:hint="eastAsia"/>
          <w:b w:val="0"/>
          <w:bCs/>
          <w:color w:val="auto"/>
          <w:sz w:val="24"/>
          <w:szCs w:val="24"/>
          <w:highlight w:val="none"/>
          <w:shd w:val="clear" w:color="auto" w:fill="FFFFFF"/>
          <w:lang w:val="en-US" w:eastAsia="zh-CN"/>
        </w:rPr>
        <w:t>2024年下半年T1改造完成后川航将搬回至T1航站楼，故D指廊及途经的DE连廊区域</w:t>
      </w:r>
      <w:r>
        <w:rPr>
          <w:rFonts w:ascii="Times New Roman" w:eastAsia="宋体" w:hAnsi="Times New Roman" w:hint="eastAsia"/>
          <w:b w:val="0"/>
          <w:bCs/>
          <w:color w:val="auto"/>
          <w:sz w:val="24"/>
          <w:szCs w:val="24"/>
          <w:highlight w:val="none"/>
          <w:shd w:val="clear" w:color="auto" w:fill="FFFFFF"/>
          <w:lang w:val="en-US" w:eastAsia="zh-CN"/>
        </w:rPr>
        <w:t>客流量</w:t>
      </w:r>
      <w:r>
        <w:rPr>
          <w:rFonts w:ascii="Times New Roman" w:hAnsi="Times New Roman" w:hint="eastAsia"/>
          <w:b w:val="0"/>
          <w:bCs/>
          <w:color w:val="auto"/>
          <w:sz w:val="24"/>
          <w:szCs w:val="24"/>
          <w:highlight w:val="none"/>
          <w:shd w:val="clear" w:color="auto" w:fill="FFFFFF"/>
          <w:lang w:val="en-US" w:eastAsia="zh-CN"/>
        </w:rPr>
        <w:t>会相应的受到影响。</w:t>
      </w:r>
    </w:p>
    <w:p>
      <w:pPr>
        <w:pStyle w:val="NormalWeb"/>
        <w:keepNext w:val="0"/>
        <w:keepLines w:val="0"/>
        <w:pageBreakBefore w:val="0"/>
        <w:kinsoku/>
        <w:wordWrap/>
        <w:overflowPunct/>
        <w:topLinePunct w:val="0"/>
        <w:autoSpaceDE/>
        <w:autoSpaceDN/>
        <w:bidi w:val="0"/>
        <w:adjustRightInd/>
        <w:snapToGrid/>
        <w:spacing w:before="0" w:beforeAutospacing="0" w:after="0" w:afterAutospacing="0" w:line="480" w:lineRule="auto"/>
        <w:ind w:right="0" w:firstLine="480"/>
        <w:textAlignment w:val="auto"/>
        <w:outlineLvl w:val="9"/>
        <w:rPr>
          <w:rFonts w:hint="eastAsia"/>
          <w:b w:val="0"/>
          <w:bCs w:val="0"/>
          <w:color w:val="auto"/>
          <w:sz w:val="24"/>
          <w:szCs w:val="24"/>
          <w:highlight w:val="none"/>
          <w:shd w:val="clear" w:color="auto" w:fill="FFFFFF"/>
          <w:lang w:val="en-US" w:eastAsia="zh-CN"/>
        </w:rPr>
      </w:pPr>
    </w:p>
    <w:p>
      <w:pPr>
        <w:pStyle w:val="a"/>
        <w:rPr>
          <w:rFonts w:ascii="宋体" w:hAnsi="宋体" w:hint="eastAsia"/>
          <w:b w:val="0"/>
          <w:bCs w:val="0"/>
          <w:sz w:val="24"/>
          <w:szCs w:val="24"/>
          <w:lang w:eastAsia="zh-CN"/>
        </w:rPr>
      </w:pPr>
    </w:p>
    <w:p>
      <w:pPr>
        <w:pStyle w:val="a"/>
        <w:rPr>
          <w:rFonts w:ascii="宋体" w:hAnsi="宋体" w:hint="eastAsia"/>
          <w:b w:val="0"/>
          <w:bCs w:val="0"/>
          <w:sz w:val="24"/>
          <w:szCs w:val="24"/>
          <w:lang w:eastAsia="zh-CN"/>
        </w:rPr>
      </w:pPr>
    </w:p>
    <w:p>
      <w:pPr>
        <w:keepNext w:val="0"/>
        <w:keepLines w:val="0"/>
        <w:pageBreakBefore w:val="0"/>
        <w:kinsoku/>
        <w:wordWrap/>
        <w:overflowPunct/>
        <w:topLinePunct w:val="0"/>
        <w:autoSpaceDE/>
        <w:autoSpaceDN/>
        <w:bidi w:val="0"/>
        <w:adjustRightInd/>
        <w:snapToGrid/>
        <w:spacing w:line="480" w:lineRule="auto"/>
        <w:ind w:right="0"/>
        <w:textAlignment w:val="auto"/>
        <w:outlineLvl w:val="9"/>
        <w:rPr>
          <w:rFonts w:ascii="宋体" w:hAnsi="宋体" w:hint="eastAsia"/>
          <w:b/>
          <w:sz w:val="24"/>
          <w:szCs w:val="24"/>
        </w:rPr>
      </w:pPr>
    </w:p>
    <w:p>
      <w:pPr>
        <w:keepNext w:val="0"/>
        <w:keepLines w:val="0"/>
        <w:pageBreakBefore w:val="0"/>
        <w:kinsoku/>
        <w:wordWrap/>
        <w:overflowPunct/>
        <w:topLinePunct w:val="0"/>
        <w:autoSpaceDE/>
        <w:autoSpaceDN/>
        <w:bidi w:val="0"/>
        <w:adjustRightInd/>
        <w:snapToGrid/>
        <w:spacing w:line="480" w:lineRule="auto"/>
        <w:ind w:right="0"/>
        <w:textAlignment w:val="auto"/>
        <w:outlineLvl w:val="9"/>
        <w:rPr>
          <w:rFonts w:ascii="宋体" w:hAnsi="宋体"/>
          <w:b/>
          <w:sz w:val="24"/>
          <w:szCs w:val="24"/>
        </w:rPr>
      </w:pPr>
      <w:r>
        <w:rPr>
          <w:rFonts w:ascii="宋体" w:hAnsi="宋体" w:hint="eastAsia"/>
          <w:b/>
          <w:sz w:val="24"/>
          <w:szCs w:val="24"/>
        </w:rPr>
        <w:t xml:space="preserve">报价人签名（公司盖章）： </w:t>
      </w:r>
      <w:r>
        <w:rPr>
          <w:rFonts w:ascii="宋体" w:hAnsi="宋体"/>
          <w:b/>
          <w:sz w:val="24"/>
          <w:szCs w:val="24"/>
        </w:rPr>
        <w:t xml:space="preserve">                     </w:t>
      </w:r>
    </w:p>
    <w:p>
      <w:pPr>
        <w:keepNext w:val="0"/>
        <w:keepLines w:val="0"/>
        <w:pageBreakBefore w:val="0"/>
        <w:kinsoku/>
        <w:wordWrap/>
        <w:overflowPunct/>
        <w:topLinePunct w:val="0"/>
        <w:autoSpaceDE/>
        <w:autoSpaceDN/>
        <w:bidi w:val="0"/>
        <w:adjustRightInd/>
        <w:snapToGrid/>
        <w:spacing w:line="480" w:lineRule="auto"/>
        <w:ind w:right="0"/>
        <w:textAlignment w:val="auto"/>
        <w:outlineLvl w:val="9"/>
        <w:rPr>
          <w:rFonts w:ascii="宋体" w:hAnsi="宋体"/>
          <w:b/>
          <w:sz w:val="24"/>
          <w:szCs w:val="24"/>
        </w:rPr>
      </w:pPr>
      <w:r>
        <w:rPr>
          <w:rFonts w:ascii="宋体" w:hAnsi="宋体" w:hint="eastAsia"/>
          <w:b/>
          <w:sz w:val="24"/>
          <w:szCs w:val="24"/>
        </w:rPr>
        <w:t>时间：</w:t>
      </w:r>
    </w:p>
    <w:p>
      <w:pPr>
        <w:keepNext w:val="0"/>
        <w:keepLines w:val="0"/>
        <w:pageBreakBefore w:val="0"/>
        <w:kinsoku/>
        <w:wordWrap/>
        <w:overflowPunct/>
        <w:topLinePunct w:val="0"/>
        <w:autoSpaceDE/>
        <w:autoSpaceDN/>
        <w:bidi w:val="0"/>
        <w:adjustRightInd/>
        <w:snapToGrid/>
        <w:spacing w:line="480" w:lineRule="auto"/>
        <w:ind w:right="0"/>
        <w:textAlignment w:val="auto"/>
        <w:outlineLvl w:val="9"/>
        <w:rPr>
          <w:rFonts w:ascii="宋体" w:hAnsi="宋体" w:hint="eastAsia"/>
          <w:b/>
          <w:sz w:val="24"/>
          <w:szCs w:val="24"/>
          <w:lang w:eastAsia="zh-CN"/>
        </w:rPr>
      </w:pPr>
      <w:r>
        <w:rPr>
          <w:rFonts w:ascii="宋体" w:hAnsi="宋体" w:hint="eastAsia"/>
          <w:b/>
          <w:sz w:val="24"/>
          <w:szCs w:val="24"/>
        </w:rPr>
        <w:t>本报价单为一次性最终报价，商家无二次报价机会，机场据此报价单进行评分。</w:t>
      </w:r>
    </w:p>
    <w:p>
      <w:pPr>
        <w:pStyle w:val="a"/>
        <w:rPr>
          <w:rFonts w:eastAsia="宋体" w:hint="eastAsia"/>
          <w:lang w:val="en-US" w:eastAsia="zh-CN"/>
        </w:rPr>
      </w:pPr>
      <w:r>
        <w:rPr>
          <w:rFonts w:ascii="宋体" w:hAnsi="宋体" w:hint="eastAsia"/>
          <w:b/>
          <w:sz w:val="24"/>
          <w:szCs w:val="24"/>
          <w:lang w:eastAsia="zh-CN"/>
        </w:rPr>
        <w:t>注：</w:t>
      </w:r>
    </w:p>
    <w:p>
      <w:pPr>
        <w:pStyle w:val="a"/>
        <w:numPr>
          <w:ilvl w:val="0"/>
          <w:numId w:val="2"/>
        </w:numPr>
        <w:ind w:left="425" w:hanging="425"/>
        <w:rPr>
          <w:rFonts w:asciiTheme="minorEastAsia" w:eastAsiaTheme="minorEastAsia" w:hAnsiTheme="minorEastAsia" w:cstheme="minorEastAsia" w:hint="eastAsia"/>
          <w:b/>
          <w:bCs w:val="0"/>
          <w:color w:val="auto"/>
          <w:lang w:val="en-US" w:eastAsia="zh-CN"/>
        </w:rPr>
      </w:pPr>
      <w:bookmarkStart w:id="1" w:name="_Toc28443"/>
      <w:r>
        <w:rPr>
          <w:rFonts w:asciiTheme="minorEastAsia" w:eastAsiaTheme="minorEastAsia" w:hAnsiTheme="minorEastAsia" w:cstheme="minorEastAsia" w:hint="eastAsia"/>
          <w:b/>
          <w:bCs w:val="0"/>
          <w:color w:val="auto"/>
          <w:sz w:val="24"/>
          <w:lang w:val="en-US" w:eastAsia="zh-CN"/>
        </w:rPr>
        <w:t>投报CD-R-2D标段填写，如售卖香烟则填写</w:t>
      </w:r>
      <w:r>
        <w:rPr>
          <w:rFonts w:asciiTheme="minorEastAsia" w:eastAsiaTheme="minorEastAsia" w:hAnsiTheme="minorEastAsia" w:cstheme="minorEastAsia" w:hint="eastAsia"/>
          <w:b/>
          <w:sz w:val="24"/>
          <w:szCs w:val="24"/>
          <w:lang w:eastAsia="zh-CN"/>
        </w:rPr>
        <w:t>烟草类销售额提成率，不售卖香烟不填写</w:t>
      </w:r>
      <w:r>
        <w:rPr>
          <w:rFonts w:asciiTheme="minorEastAsia" w:eastAsiaTheme="minorEastAsia" w:hAnsiTheme="minorEastAsia" w:cstheme="minorEastAsia" w:hint="eastAsia"/>
          <w:b/>
          <w:bCs w:val="0"/>
          <w:color w:val="auto"/>
          <w:sz w:val="24"/>
          <w:lang w:val="en-US" w:eastAsia="zh-CN"/>
        </w:rPr>
        <w:t>。</w:t>
      </w:r>
    </w:p>
    <w:p>
      <w:pPr>
        <w:pStyle w:val="NormalWeb"/>
        <w:keepNext w:val="0"/>
        <w:keepLines w:val="0"/>
        <w:pageBreakBefore w:val="0"/>
        <w:widowControl/>
        <w:numPr>
          <w:ilvl w:val="0"/>
          <w:numId w:val="2"/>
        </w:numPr>
        <w:kinsoku/>
        <w:wordWrap/>
        <w:overflowPunct/>
        <w:topLinePunct w:val="0"/>
        <w:autoSpaceDE/>
        <w:autoSpaceDN/>
        <w:bidi w:val="0"/>
        <w:adjustRightInd w:val="0"/>
        <w:snapToGrid w:val="0"/>
        <w:spacing w:before="120" w:beforeAutospacing="0" w:after="120" w:afterAutospacing="0" w:line="360" w:lineRule="auto"/>
        <w:ind w:left="425" w:hanging="425"/>
        <w:textAlignment w:val="auto"/>
        <w:rPr>
          <w:rFonts w:ascii="Times New Roman" w:eastAsia="宋体" w:hAnsi="Times New Roman" w:hint="default"/>
          <w:b w:val="0"/>
          <w:bCs/>
          <w:color w:val="auto"/>
          <w:sz w:val="24"/>
          <w:szCs w:val="24"/>
          <w:lang w:val="en-US" w:eastAsia="zh-CN"/>
        </w:rPr>
      </w:pPr>
      <w:r>
        <w:rPr>
          <w:rFonts w:ascii="Times New Roman" w:eastAsia="宋体" w:hAnsi="Times New Roman" w:cs="宋体" w:hint="eastAsia"/>
          <w:b/>
          <w:bCs w:val="0"/>
          <w:sz w:val="24"/>
          <w:szCs w:val="24"/>
          <w:lang w:val="en-US" w:eastAsia="zh-CN"/>
        </w:rPr>
        <w:t>保底租金报价方式及联动机制</w:t>
      </w:r>
      <w:r>
        <w:rPr>
          <w:rFonts w:ascii="Times New Roman" w:eastAsia="宋体" w:hAnsi="Times New Roman" w:cs="宋体" w:hint="eastAsia"/>
          <w:b w:val="0"/>
          <w:bCs/>
          <w:sz w:val="24"/>
          <w:szCs w:val="24"/>
          <w:lang w:val="en-US" w:eastAsia="zh-CN"/>
        </w:rPr>
        <w:t>：</w:t>
      </w:r>
    </w:p>
    <w:p>
      <w:pPr>
        <w:pStyle w:val="NormalWeb"/>
        <w:keepNext w:val="0"/>
        <w:keepLines w:val="0"/>
        <w:pageBreakBefore w:val="0"/>
        <w:widowControl/>
        <w:numPr>
          <w:ilvl w:val="0"/>
          <w:numId w:val="0"/>
        </w:numPr>
        <w:kinsoku/>
        <w:wordWrap/>
        <w:overflowPunct/>
        <w:topLinePunct w:val="0"/>
        <w:autoSpaceDE/>
        <w:autoSpaceDN/>
        <w:bidi w:val="0"/>
        <w:adjustRightInd w:val="0"/>
        <w:snapToGrid w:val="0"/>
        <w:spacing w:before="120" w:beforeAutospacing="0" w:after="120" w:afterAutospacing="0" w:line="360" w:lineRule="auto"/>
        <w:ind w:firstLine="480"/>
        <w:textAlignment w:val="auto"/>
        <w:rPr>
          <w:rFonts w:ascii="Times New Roman" w:eastAsia="宋体" w:hAnsi="Times New Roman" w:hint="default"/>
          <w:b w:val="0"/>
          <w:bCs/>
          <w:color w:val="auto"/>
          <w:sz w:val="24"/>
          <w:szCs w:val="24"/>
          <w:lang w:val="en-US" w:eastAsia="zh-CN"/>
        </w:rPr>
      </w:pPr>
      <w:r>
        <w:rPr>
          <w:rFonts w:ascii="宋体" w:eastAsia="宋体" w:hAnsi="宋体" w:cs="宋体"/>
          <w:b w:val="0"/>
          <w:bCs/>
          <w:color w:val="auto"/>
          <w:sz w:val="24"/>
          <w:szCs w:val="24"/>
        </w:rPr>
        <w:t>报名商家以国内月均吞吐量231.7万人次/月为标准进行</w:t>
      </w:r>
      <w:r>
        <w:rPr>
          <w:rFonts w:cs="宋体" w:hint="eastAsia"/>
          <w:b w:val="0"/>
          <w:bCs/>
          <w:color w:val="auto"/>
          <w:sz w:val="24"/>
          <w:szCs w:val="24"/>
          <w:lang w:eastAsia="zh-CN"/>
        </w:rPr>
        <w:t>保底经营费用</w:t>
      </w:r>
      <w:r>
        <w:rPr>
          <w:rFonts w:ascii="宋体" w:eastAsia="宋体" w:hAnsi="宋体" w:cs="宋体"/>
          <w:b w:val="0"/>
          <w:bCs/>
          <w:color w:val="auto"/>
          <w:sz w:val="24"/>
          <w:szCs w:val="24"/>
        </w:rPr>
        <w:t>报价，合同期内各月保底</w:t>
      </w:r>
      <w:r>
        <w:rPr>
          <w:rFonts w:cs="宋体" w:hint="eastAsia"/>
          <w:b w:val="0"/>
          <w:bCs/>
          <w:color w:val="auto"/>
          <w:sz w:val="24"/>
          <w:szCs w:val="24"/>
          <w:lang w:eastAsia="zh-CN"/>
        </w:rPr>
        <w:t>经营费用</w:t>
      </w:r>
      <w:r>
        <w:rPr>
          <w:rFonts w:ascii="宋体" w:eastAsia="宋体" w:hAnsi="宋体" w:cs="宋体"/>
          <w:b w:val="0"/>
          <w:bCs/>
          <w:color w:val="auto"/>
          <w:sz w:val="24"/>
          <w:szCs w:val="24"/>
        </w:rPr>
        <w:t>按照当月吞吐量与231.7万人次之间的差异进行相应程度联动。</w:t>
      </w:r>
      <w:r>
        <w:rPr>
          <w:rFonts w:ascii="Times New Roman" w:hAnsi="Times New Roman" w:hint="eastAsia"/>
          <w:b w:val="0"/>
          <w:bCs/>
          <w:color w:val="auto"/>
          <w:sz w:val="24"/>
          <w:szCs w:val="24"/>
          <w:lang w:val="en-US" w:eastAsia="zh-CN"/>
        </w:rPr>
        <w:t xml:space="preserve">  </w:t>
      </w:r>
    </w:p>
    <w:tbl>
      <w:tblPr>
        <w:tblStyle w:val="TableNormal"/>
        <w:tblpPr w:leftFromText="180" w:rightFromText="180" w:vertAnchor="text" w:horzAnchor="page" w:tblpX="1712" w:tblpY="32"/>
        <w:tblOverlap w:val="never"/>
        <w:tblW w:w="8465" w:type="dxa"/>
        <w:tblInd w:w="0" w:type="dxa"/>
        <w:tblLayout w:type="fixed"/>
        <w:tblCellMar>
          <w:top w:w="0" w:type="dxa"/>
          <w:left w:w="0" w:type="dxa"/>
          <w:bottom w:w="0" w:type="dxa"/>
          <w:right w:w="0" w:type="dxa"/>
        </w:tblCellMar>
      </w:tblPr>
      <w:tblGrid>
        <w:gridCol w:w="2433"/>
        <w:gridCol w:w="1382"/>
        <w:gridCol w:w="4650"/>
      </w:tblGrid>
      <w:tr>
        <w:tblPrEx>
          <w:tblW w:w="8465" w:type="dxa"/>
          <w:tblInd w:w="0" w:type="dxa"/>
          <w:tblLayout w:type="fixed"/>
          <w:tblCellMar>
            <w:top w:w="0" w:type="dxa"/>
            <w:left w:w="0" w:type="dxa"/>
            <w:bottom w:w="0" w:type="dxa"/>
            <w:right w:w="0" w:type="dxa"/>
          </w:tblCellMar>
        </w:tblPrEx>
        <w:trPr>
          <w:trHeight w:val="397"/>
        </w:trPr>
        <w:tc>
          <w:tcPr>
            <w:tcW w:w="2433" w:type="dxa"/>
            <w:tcBorders>
              <w:top w:val="single" w:sz="4" w:space="0" w:color="000000"/>
              <w:left w:val="single" w:sz="4" w:space="0" w:color="000000"/>
              <w:bottom w:val="single" w:sz="4" w:space="0" w:color="000000"/>
              <w:right w:val="single" w:sz="4" w:space="0" w:color="000000"/>
            </w:tcBorders>
            <w:shd w:val="clear" w:color="auto" w:fill="D7D7D7"/>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ascii="宋体" w:eastAsia="宋体" w:hAnsi="宋体" w:cs="宋体" w:hint="eastAsia"/>
                <w:b/>
                <w:bCs/>
                <w:i w:val="0"/>
                <w:color w:val="000000"/>
                <w:kern w:val="0"/>
                <w:sz w:val="20"/>
                <w:szCs w:val="20"/>
                <w:u w:val="none"/>
                <w:lang w:val="en-US" w:eastAsia="zh-CN"/>
              </w:rPr>
            </w:pPr>
            <w:r>
              <w:rPr>
                <w:rFonts w:ascii="宋体" w:eastAsia="宋体" w:hAnsi="宋体" w:cs="宋体" w:hint="eastAsia"/>
                <w:b/>
                <w:bCs/>
                <w:i w:val="0"/>
                <w:color w:val="000000"/>
                <w:kern w:val="0"/>
                <w:sz w:val="20"/>
                <w:szCs w:val="20"/>
                <w:u w:val="none"/>
                <w:lang w:val="en-US" w:eastAsia="zh-CN"/>
              </w:rPr>
              <w:t>吞吐量较231.7万人次/月变动</w:t>
            </w:r>
            <w:r>
              <w:rPr>
                <w:rFonts w:ascii="宋体" w:eastAsia="宋体" w:hAnsi="宋体" w:cs="宋体" w:hint="eastAsia"/>
                <w:b w:val="0"/>
                <w:bCs w:val="0"/>
                <w:i w:val="0"/>
                <w:color w:val="000000"/>
                <w:kern w:val="0"/>
                <w:sz w:val="20"/>
                <w:szCs w:val="20"/>
                <w:u w:val="none"/>
                <w:lang w:val="en-US" w:eastAsia="zh-CN"/>
              </w:rPr>
              <w:t>（X）</w:t>
            </w:r>
          </w:p>
        </w:tc>
        <w:tc>
          <w:tcPr>
            <w:tcW w:w="1382" w:type="dxa"/>
            <w:tcBorders>
              <w:top w:val="single" w:sz="4" w:space="0" w:color="000000"/>
              <w:left w:val="single" w:sz="4" w:space="0" w:color="000000"/>
              <w:bottom w:val="single" w:sz="4" w:space="0" w:color="000000"/>
              <w:right w:val="single" w:sz="4" w:space="0" w:color="000000"/>
            </w:tcBorders>
            <w:shd w:val="clear" w:color="auto" w:fill="D7D7D7"/>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eastAsia="宋体" w:hAnsi="宋体" w:cs="宋体" w:hint="eastAsia"/>
                <w:b/>
                <w:bCs/>
                <w:i w:val="0"/>
                <w:color w:val="000000"/>
                <w:kern w:val="0"/>
                <w:sz w:val="20"/>
                <w:szCs w:val="20"/>
                <w:u w:val="none"/>
                <w:lang w:val="en-US" w:eastAsia="zh-CN"/>
              </w:rPr>
            </w:pPr>
            <w:r>
              <w:rPr>
                <w:rFonts w:ascii="宋体" w:eastAsia="宋体" w:hAnsi="宋体" w:cs="宋体" w:hint="eastAsia"/>
                <w:b/>
                <w:bCs/>
                <w:i w:val="0"/>
                <w:color w:val="000000"/>
                <w:kern w:val="0"/>
                <w:sz w:val="20"/>
                <w:szCs w:val="20"/>
                <w:u w:val="none"/>
                <w:lang w:val="en-US" w:eastAsia="zh-CN"/>
              </w:rPr>
              <w:t>月保底经营费</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eastAsia="宋体" w:hAnsi="宋体" w:cs="宋体" w:hint="eastAsia"/>
                <w:b/>
                <w:bCs/>
                <w:i w:val="0"/>
                <w:color w:val="000000"/>
                <w:sz w:val="20"/>
                <w:szCs w:val="20"/>
                <w:u w:val="none"/>
              </w:rPr>
            </w:pPr>
            <w:r>
              <w:rPr>
                <w:rFonts w:ascii="宋体" w:eastAsia="宋体" w:hAnsi="宋体" w:cs="宋体" w:hint="eastAsia"/>
                <w:b/>
                <w:bCs/>
                <w:i w:val="0"/>
                <w:color w:val="000000"/>
                <w:kern w:val="0"/>
                <w:sz w:val="20"/>
                <w:szCs w:val="20"/>
                <w:u w:val="none"/>
                <w:lang w:val="en-US" w:eastAsia="zh-CN"/>
              </w:rPr>
              <w:t>用联动比例</w:t>
            </w:r>
          </w:p>
        </w:tc>
        <w:tc>
          <w:tcPr>
            <w:tcW w:w="4650" w:type="dxa"/>
            <w:tcBorders>
              <w:top w:val="single" w:sz="4" w:space="0" w:color="000000"/>
              <w:left w:val="single" w:sz="4" w:space="0" w:color="000000"/>
              <w:bottom w:val="single" w:sz="4" w:space="0" w:color="000000"/>
              <w:right w:val="single" w:sz="4" w:space="0" w:color="000000"/>
            </w:tcBorders>
            <w:shd w:val="clear" w:color="auto" w:fill="D7D7D7"/>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eastAsia="宋体" w:hAnsi="宋体" w:cs="宋体" w:hint="eastAsia"/>
                <w:b/>
                <w:bCs/>
                <w:i w:val="0"/>
                <w:color w:val="000000"/>
                <w:kern w:val="0"/>
                <w:sz w:val="20"/>
                <w:szCs w:val="20"/>
                <w:u w:val="none"/>
                <w:lang w:val="en-US" w:eastAsia="zh-CN"/>
              </w:rPr>
            </w:pPr>
            <w:r>
              <w:rPr>
                <w:rFonts w:ascii="宋体" w:hAnsi="宋体" w:cs="宋体" w:hint="eastAsia"/>
                <w:b/>
                <w:bCs/>
                <w:i w:val="0"/>
                <w:color w:val="000000"/>
                <w:kern w:val="0"/>
                <w:sz w:val="20"/>
                <w:szCs w:val="20"/>
                <w:u w:val="none"/>
                <w:lang w:val="en-US" w:eastAsia="zh-CN"/>
              </w:rPr>
              <w:t>调整公式</w:t>
            </w:r>
          </w:p>
        </w:tc>
      </w:tr>
      <w:tr>
        <w:tblPrEx>
          <w:tblW w:w="8465" w:type="dxa"/>
          <w:tblInd w:w="0" w:type="dxa"/>
          <w:tblLayout w:type="fixed"/>
          <w:tblCellMar>
            <w:top w:w="0" w:type="dxa"/>
            <w:left w:w="0" w:type="dxa"/>
            <w:bottom w:w="0" w:type="dxa"/>
            <w:right w:w="0" w:type="dxa"/>
          </w:tblCellMar>
        </w:tblPrEx>
        <w:trPr>
          <w:trHeight w:val="594"/>
        </w:trPr>
        <w:tc>
          <w:tcPr>
            <w:tcW w:w="2433" w:type="dxa"/>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eastAsia="宋体" w:hAnsi="宋体" w:cs="宋体" w:hint="eastAsia"/>
                <w:i w:val="0"/>
                <w:color w:val="000000"/>
                <w:sz w:val="20"/>
                <w:szCs w:val="20"/>
                <w:u w:val="none"/>
                <w:lang w:val="en-US"/>
              </w:rPr>
            </w:pPr>
            <w:r>
              <w:rPr>
                <w:rFonts w:ascii="宋体" w:eastAsia="宋体" w:hAnsi="宋体" w:cs="宋体" w:hint="eastAsia"/>
                <w:i w:val="0"/>
                <w:color w:val="000000"/>
                <w:kern w:val="0"/>
                <w:sz w:val="20"/>
                <w:szCs w:val="20"/>
                <w:u w:val="none"/>
                <w:lang w:val="en-US" w:eastAsia="zh-CN"/>
              </w:rPr>
              <w:t>X≥0%</w:t>
            </w:r>
          </w:p>
        </w:tc>
        <w:tc>
          <w:tcPr>
            <w:tcW w:w="1382" w:type="dxa"/>
            <w:vMerge w:val="restart"/>
            <w:tcBorders>
              <w:top w:val="single" w:sz="4" w:space="0" w:color="000000"/>
              <w:left w:val="single" w:sz="4" w:space="0" w:color="000000"/>
              <w:right w:val="single" w:sz="4" w:space="0" w:color="000000"/>
            </w:tcBorders>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rPr>
              <w:t>50%</w:t>
            </w:r>
          </w:p>
        </w:tc>
        <w:tc>
          <w:tcPr>
            <w:tcW w:w="4650" w:type="dxa"/>
            <w:vMerge w:val="restart"/>
            <w:tcBorders>
              <w:top w:val="single" w:sz="4" w:space="0" w:color="000000"/>
              <w:left w:val="single" w:sz="4" w:space="0" w:color="000000"/>
              <w:right w:val="single" w:sz="4" w:space="0" w:color="000000"/>
            </w:tcBorders>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eastAsia="宋体" w:hAnsi="宋体" w:cs="宋体" w:hint="eastAsia"/>
                <w:i w:val="0"/>
                <w:color w:val="000000"/>
                <w:kern w:val="0"/>
                <w:sz w:val="20"/>
                <w:szCs w:val="20"/>
                <w:u w:val="none"/>
                <w:lang w:val="en-US" w:eastAsia="zh-CN"/>
              </w:rPr>
            </w:pPr>
            <w:r>
              <w:rPr>
                <w:rFonts w:ascii="宋体" w:eastAsia="宋体" w:hAnsi="宋体" w:cs="宋体" w:hint="eastAsia"/>
                <w:sz w:val="21"/>
                <w:szCs w:val="21"/>
                <w:highlight w:val="none"/>
              </w:rPr>
              <w:t>当月实际保底经营费用=月保底经营费用单价*实测面积*[1+（当月</w:t>
            </w:r>
            <w:r>
              <w:rPr>
                <w:rFonts w:ascii="宋体" w:eastAsia="宋体" w:hAnsi="宋体" w:cs="宋体" w:hint="eastAsia"/>
                <w:sz w:val="21"/>
                <w:szCs w:val="21"/>
                <w:highlight w:val="none"/>
                <w:lang w:val="en-US" w:eastAsia="zh-CN"/>
              </w:rPr>
              <w:t>国内</w:t>
            </w:r>
            <w:r>
              <w:rPr>
                <w:rFonts w:ascii="宋体" w:eastAsia="宋体" w:hAnsi="宋体" w:cs="宋体" w:hint="eastAsia"/>
                <w:sz w:val="21"/>
                <w:szCs w:val="21"/>
                <w:highlight w:val="none"/>
              </w:rPr>
              <w:t>实际旅客吞吐量-</w:t>
            </w:r>
            <w:r>
              <w:rPr>
                <w:rFonts w:ascii="宋体" w:eastAsia="宋体" w:hAnsi="宋体" w:cs="宋体" w:hint="eastAsia"/>
                <w:sz w:val="21"/>
                <w:szCs w:val="21"/>
                <w:highlight w:val="none"/>
                <w:lang w:val="en-US" w:eastAsia="zh-CN"/>
              </w:rPr>
              <w:t>231.7</w:t>
            </w:r>
            <w:r>
              <w:rPr>
                <w:rFonts w:ascii="宋体" w:eastAsia="宋体" w:hAnsi="宋体" w:cs="宋体" w:hint="eastAsia"/>
                <w:sz w:val="21"/>
                <w:szCs w:val="21"/>
                <w:highlight w:val="none"/>
              </w:rPr>
              <w:t>）/</w:t>
            </w:r>
            <w:r>
              <w:rPr>
                <w:rFonts w:ascii="宋体" w:eastAsia="宋体" w:hAnsi="宋体" w:cs="宋体" w:hint="eastAsia"/>
                <w:sz w:val="21"/>
                <w:szCs w:val="21"/>
                <w:highlight w:val="none"/>
                <w:lang w:val="en-US" w:eastAsia="zh-CN"/>
              </w:rPr>
              <w:t>231.7</w:t>
            </w:r>
            <w:r>
              <w:rPr>
                <w:rFonts w:ascii="宋体" w:eastAsia="宋体" w:hAnsi="宋体" w:cs="宋体" w:hint="eastAsia"/>
                <w:sz w:val="21"/>
                <w:szCs w:val="21"/>
                <w:highlight w:val="none"/>
              </w:rPr>
              <w:t> *50%]。</w:t>
            </w:r>
          </w:p>
        </w:tc>
      </w:tr>
      <w:tr>
        <w:tblPrEx>
          <w:tblW w:w="8465" w:type="dxa"/>
          <w:tblInd w:w="0" w:type="dxa"/>
          <w:tblLayout w:type="fixed"/>
          <w:tblCellMar>
            <w:top w:w="0" w:type="dxa"/>
            <w:left w:w="0" w:type="dxa"/>
            <w:bottom w:w="0" w:type="dxa"/>
            <w:right w:w="0" w:type="dxa"/>
          </w:tblCellMar>
        </w:tblPrEx>
        <w:trPr>
          <w:trHeight w:val="697"/>
        </w:trPr>
        <w:tc>
          <w:tcPr>
            <w:tcW w:w="2433" w:type="dxa"/>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eastAsia="宋体" w:hAnsi="宋体" w:cs="宋体" w:hint="eastAsia"/>
                <w:i w:val="0"/>
                <w:color w:val="000000"/>
                <w:sz w:val="20"/>
                <w:szCs w:val="20"/>
                <w:u w:val="none"/>
                <w:lang w:val="en-US" w:eastAsia="zh-CN"/>
              </w:rPr>
            </w:pPr>
            <w:r>
              <w:rPr>
                <w:rFonts w:ascii="宋体" w:hAnsi="宋体" w:cs="宋体" w:hint="eastAsia"/>
                <w:i w:val="0"/>
                <w:color w:val="000000"/>
                <w:sz w:val="20"/>
                <w:szCs w:val="20"/>
                <w:u w:val="none"/>
                <w:lang w:val="en-US" w:eastAsia="zh-CN"/>
              </w:rPr>
              <w:t>-2</w:t>
            </w:r>
            <w:r>
              <w:rPr>
                <w:rFonts w:ascii="宋体" w:eastAsia="宋体" w:hAnsi="宋体" w:cs="宋体" w:hint="eastAsia"/>
                <w:i w:val="0"/>
                <w:color w:val="000000"/>
                <w:sz w:val="20"/>
                <w:szCs w:val="20"/>
                <w:u w:val="none"/>
                <w:lang w:val="en-US" w:eastAsia="zh-CN"/>
              </w:rPr>
              <w:t xml:space="preserve">0% </w:t>
            </w:r>
            <w:r>
              <w:rPr>
                <w:rFonts w:ascii="宋体" w:hAnsi="宋体" w:cs="宋体" w:hint="eastAsia"/>
                <w:i w:val="0"/>
                <w:color w:val="000000"/>
                <w:sz w:val="20"/>
                <w:szCs w:val="20"/>
                <w:u w:val="none"/>
                <w:lang w:val="en-US" w:eastAsia="zh-CN"/>
              </w:rPr>
              <w:t>＜</w:t>
            </w:r>
            <w:r>
              <w:rPr>
                <w:rFonts w:ascii="宋体" w:eastAsia="宋体" w:hAnsi="宋体" w:cs="宋体" w:hint="eastAsia"/>
                <w:i w:val="0"/>
                <w:color w:val="000000"/>
                <w:kern w:val="0"/>
                <w:sz w:val="20"/>
                <w:szCs w:val="20"/>
                <w:u w:val="none"/>
                <w:lang w:val="en-US" w:eastAsia="zh-CN"/>
              </w:rPr>
              <w:t xml:space="preserve"> </w:t>
            </w:r>
            <w:r>
              <w:rPr>
                <w:rFonts w:ascii="宋体" w:eastAsia="宋体" w:hAnsi="宋体" w:cs="宋体" w:hint="eastAsia"/>
                <w:i w:val="0"/>
                <w:color w:val="000000"/>
                <w:sz w:val="20"/>
                <w:szCs w:val="20"/>
                <w:u w:val="none"/>
                <w:lang w:val="en-US" w:eastAsia="zh-CN"/>
              </w:rPr>
              <w:t xml:space="preserve">X </w:t>
            </w:r>
            <w:r>
              <w:rPr>
                <w:rFonts w:ascii="宋体" w:hAnsi="宋体" w:cs="宋体" w:hint="eastAsia"/>
                <w:i w:val="0"/>
                <w:color w:val="000000"/>
                <w:sz w:val="20"/>
                <w:szCs w:val="20"/>
                <w:u w:val="none"/>
                <w:lang w:val="en-US" w:eastAsia="zh-CN"/>
              </w:rPr>
              <w:t>＜</w:t>
            </w:r>
            <w:r>
              <w:rPr>
                <w:rFonts w:ascii="宋体" w:eastAsia="宋体" w:hAnsi="宋体" w:cs="宋体" w:hint="eastAsia"/>
                <w:i w:val="0"/>
                <w:color w:val="000000"/>
                <w:sz w:val="20"/>
                <w:szCs w:val="20"/>
                <w:u w:val="none"/>
                <w:lang w:val="en-US" w:eastAsia="zh-CN"/>
              </w:rPr>
              <w:t xml:space="preserve"> 0%</w:t>
            </w:r>
          </w:p>
        </w:tc>
        <w:tc>
          <w:tcPr>
            <w:tcW w:w="1382" w:type="dxa"/>
            <w:vMerge/>
            <w:tcBorders>
              <w:left w:val="single" w:sz="4" w:space="0" w:color="000000"/>
              <w:bottom w:val="single" w:sz="4" w:space="0" w:color="000000"/>
              <w:right w:val="single" w:sz="4" w:space="0" w:color="000000"/>
            </w:tcBorders>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eastAsia="宋体" w:hAnsi="宋体" w:cs="宋体" w:hint="eastAsia"/>
                <w:i w:val="0"/>
                <w:color w:val="000000"/>
                <w:sz w:val="20"/>
                <w:szCs w:val="20"/>
                <w:u w:val="none"/>
              </w:rPr>
            </w:pPr>
          </w:p>
        </w:tc>
        <w:tc>
          <w:tcPr>
            <w:tcW w:w="4650" w:type="dxa"/>
            <w:vMerge/>
            <w:tcBorders>
              <w:left w:val="single" w:sz="4" w:space="0" w:color="000000"/>
              <w:bottom w:val="single" w:sz="4" w:space="0" w:color="000000"/>
              <w:right w:val="single" w:sz="4" w:space="0" w:color="000000"/>
            </w:tcBorders>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hAnsi="宋体" w:cs="宋体" w:hint="eastAsia"/>
                <w:i w:val="0"/>
                <w:color w:val="000000"/>
                <w:kern w:val="0"/>
                <w:sz w:val="20"/>
                <w:szCs w:val="20"/>
                <w:u w:val="none"/>
                <w:lang w:val="en-US" w:eastAsia="zh-CN"/>
              </w:rPr>
            </w:pPr>
          </w:p>
        </w:tc>
      </w:tr>
      <w:tr>
        <w:tblPrEx>
          <w:tblW w:w="8465" w:type="dxa"/>
          <w:tblInd w:w="0" w:type="dxa"/>
          <w:tblLayout w:type="fixed"/>
          <w:tblCellMar>
            <w:top w:w="0" w:type="dxa"/>
            <w:left w:w="0" w:type="dxa"/>
            <w:bottom w:w="0" w:type="dxa"/>
            <w:right w:w="0" w:type="dxa"/>
          </w:tblCellMar>
        </w:tblPrEx>
        <w:trPr>
          <w:trHeight w:val="1147"/>
        </w:trPr>
        <w:tc>
          <w:tcPr>
            <w:tcW w:w="2433" w:type="dxa"/>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eastAsia="宋体" w:hAnsi="宋体" w:cs="宋体" w:hint="eastAsia"/>
                <w:i w:val="0"/>
                <w:color w:val="000000"/>
                <w:sz w:val="20"/>
                <w:szCs w:val="20"/>
                <w:u w:val="none"/>
              </w:rPr>
            </w:pPr>
            <w:r>
              <w:rPr>
                <w:rFonts w:ascii="宋体" w:hAnsi="宋体" w:cs="宋体" w:hint="eastAsia"/>
                <w:i w:val="0"/>
                <w:color w:val="000000"/>
                <w:kern w:val="0"/>
                <w:sz w:val="20"/>
                <w:szCs w:val="20"/>
                <w:u w:val="none"/>
                <w:lang w:val="en-US" w:eastAsia="zh-CN"/>
              </w:rPr>
              <w:t>X≤</w:t>
            </w:r>
            <w:r>
              <w:rPr>
                <w:rFonts w:ascii="宋体" w:eastAsia="宋体" w:hAnsi="宋体" w:cs="宋体" w:hint="eastAsia"/>
                <w:i w:val="0"/>
                <w:color w:val="000000"/>
                <w:kern w:val="0"/>
                <w:sz w:val="20"/>
                <w:szCs w:val="20"/>
                <w:u w:val="none"/>
                <w:lang w:val="en-US" w:eastAsia="zh-CN"/>
              </w:rPr>
              <w:t xml:space="preserve">-20% </w:t>
            </w:r>
          </w:p>
        </w:tc>
        <w:tc>
          <w:tcPr>
            <w:tcW w:w="1382" w:type="dxa"/>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eastAsia="宋体" w:hAnsi="宋体" w:cs="宋体" w:hint="eastAsia"/>
                <w:i w:val="0"/>
                <w:color w:val="000000"/>
                <w:sz w:val="20"/>
                <w:szCs w:val="20"/>
                <w:u w:val="none"/>
              </w:rPr>
            </w:pPr>
            <w:r>
              <w:rPr>
                <w:rFonts w:ascii="宋体" w:hAnsi="宋体" w:cs="宋体" w:hint="eastAsia"/>
                <w:i w:val="0"/>
                <w:color w:val="000000"/>
                <w:kern w:val="0"/>
                <w:sz w:val="20"/>
                <w:szCs w:val="20"/>
                <w:u w:val="none"/>
                <w:lang w:val="en-US" w:eastAsia="zh-CN"/>
              </w:rPr>
              <w:t>100</w:t>
            </w:r>
            <w:r>
              <w:rPr>
                <w:rFonts w:ascii="宋体" w:eastAsia="宋体" w:hAnsi="宋体" w:cs="宋体" w:hint="eastAsia"/>
                <w:i w:val="0"/>
                <w:color w:val="000000"/>
                <w:kern w:val="0"/>
                <w:sz w:val="20"/>
                <w:szCs w:val="20"/>
                <w:u w:val="none"/>
                <w:lang w:val="en-US" w:eastAsia="zh-CN"/>
              </w:rPr>
              <w:t>%</w:t>
            </w:r>
          </w:p>
        </w:tc>
        <w:tc>
          <w:tcPr>
            <w:tcW w:w="4650" w:type="dxa"/>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hAnsi="宋体" w:cs="宋体" w:hint="eastAsia"/>
                <w:i w:val="0"/>
                <w:color w:val="000000"/>
                <w:kern w:val="0"/>
                <w:sz w:val="20"/>
                <w:szCs w:val="20"/>
                <w:u w:val="none"/>
                <w:lang w:val="en-US" w:eastAsia="zh-CN"/>
              </w:rPr>
            </w:pPr>
            <w:r>
              <w:rPr>
                <w:rFonts w:ascii="宋体" w:eastAsia="宋体" w:hAnsi="宋体" w:cs="宋体" w:hint="eastAsia"/>
                <w:sz w:val="21"/>
                <w:szCs w:val="21"/>
                <w:highlight w:val="none"/>
              </w:rPr>
              <w:t>当月实际保底经营费用=月保底经营费用单价*实测面积*[1+（当月</w:t>
            </w:r>
            <w:r>
              <w:rPr>
                <w:rFonts w:ascii="宋体" w:eastAsia="宋体" w:hAnsi="宋体" w:cs="宋体" w:hint="eastAsia"/>
                <w:sz w:val="21"/>
                <w:szCs w:val="21"/>
                <w:highlight w:val="none"/>
                <w:lang w:val="en-US" w:eastAsia="zh-CN"/>
              </w:rPr>
              <w:t>国内</w:t>
            </w:r>
            <w:r>
              <w:rPr>
                <w:rFonts w:ascii="宋体" w:eastAsia="宋体" w:hAnsi="宋体" w:cs="宋体" w:hint="eastAsia"/>
                <w:sz w:val="21"/>
                <w:szCs w:val="21"/>
                <w:highlight w:val="none"/>
              </w:rPr>
              <w:t>实际旅客吞吐量-</w:t>
            </w:r>
            <w:r>
              <w:rPr>
                <w:rFonts w:ascii="宋体" w:eastAsia="宋体" w:hAnsi="宋体" w:cs="宋体" w:hint="eastAsia"/>
                <w:sz w:val="21"/>
                <w:szCs w:val="21"/>
                <w:highlight w:val="none"/>
                <w:lang w:val="en-US" w:eastAsia="zh-CN"/>
              </w:rPr>
              <w:t>231.7</w:t>
            </w:r>
            <w:r>
              <w:rPr>
                <w:rFonts w:ascii="宋体" w:eastAsia="宋体" w:hAnsi="宋体" w:cs="宋体" w:hint="eastAsia"/>
                <w:sz w:val="21"/>
                <w:szCs w:val="21"/>
                <w:highlight w:val="none"/>
              </w:rPr>
              <w:t>）/</w:t>
            </w:r>
            <w:r>
              <w:rPr>
                <w:rFonts w:ascii="宋体" w:eastAsia="宋体" w:hAnsi="宋体" w:cs="宋体" w:hint="eastAsia"/>
                <w:sz w:val="21"/>
                <w:szCs w:val="21"/>
                <w:highlight w:val="none"/>
                <w:lang w:val="en-US" w:eastAsia="zh-CN"/>
              </w:rPr>
              <w:t>231.7</w:t>
            </w:r>
            <w:r>
              <w:rPr>
                <w:rFonts w:ascii="宋体" w:eastAsia="宋体" w:hAnsi="宋体" w:cs="宋体" w:hint="eastAsia"/>
                <w:sz w:val="21"/>
                <w:szCs w:val="21"/>
                <w:highlight w:val="none"/>
              </w:rPr>
              <w:t> ]。</w:t>
            </w:r>
          </w:p>
        </w:tc>
      </w:tr>
    </w:tbl>
    <w:p>
      <w:pPr>
        <w:numPr>
          <w:ilvl w:val="0"/>
          <w:numId w:val="0"/>
        </w:numPr>
        <w:jc w:val="both"/>
        <w:rPr>
          <w:rFonts w:hint="eastAsia"/>
          <w:lang w:val="en-US" w:eastAsia="zh-CN"/>
        </w:rPr>
      </w:pPr>
      <w:bookmarkEnd w:id="1"/>
      <w:r>
        <w:rPr>
          <w:rFonts w:ascii="仿宋" w:eastAsia="仿宋" w:hAnsi="仿宋" w:cs="仿宋" w:hint="eastAsia"/>
          <w:b w:val="0"/>
          <w:bCs w:val="0"/>
          <w:sz w:val="24"/>
          <w:szCs w:val="24"/>
          <w:lang w:val="en-US" w:eastAsia="zh-CN"/>
        </w:rPr>
        <w:t>备注：</w:t>
      </w:r>
      <w:r>
        <w:rPr>
          <w:rFonts w:ascii="仿宋" w:eastAsia="仿宋" w:hAnsi="仿宋" w:cs="仿宋" w:hint="eastAsia"/>
          <w:b w:val="0"/>
          <w:color w:val="auto"/>
          <w:kern w:val="2"/>
          <w:sz w:val="24"/>
          <w:szCs w:val="24"/>
          <w:shd w:val="clear" w:color="auto" w:fill="auto"/>
          <w:lang w:val="en-US" w:eastAsia="zh-CN"/>
        </w:rPr>
        <w:t>每月实际吞吐量以次月商贸中心通知为准</w:t>
      </w:r>
      <w:r>
        <w:rPr>
          <w:rFonts w:ascii="仿宋" w:eastAsia="仿宋" w:hAnsi="仿宋" w:cs="仿宋" w:hint="eastAsia"/>
          <w:b w:val="0"/>
          <w:bCs w:val="0"/>
          <w:sz w:val="24"/>
          <w:szCs w:val="24"/>
          <w:lang w:val="en-US" w:eastAsia="zh-CN"/>
        </w:rPr>
        <w:t>。</w:t>
      </w:r>
    </w:p>
    <w:p>
      <w:pPr>
        <w:pStyle w:val="NormalWeb"/>
        <w:keepNext w:val="0"/>
        <w:keepLines w:val="0"/>
        <w:pageBreakBefore w:val="0"/>
        <w:widowControl/>
        <w:numPr>
          <w:ilvl w:val="0"/>
          <w:numId w:val="0"/>
        </w:numPr>
        <w:kinsoku/>
        <w:wordWrap/>
        <w:overflowPunct/>
        <w:topLinePunct w:val="0"/>
        <w:autoSpaceDE/>
        <w:autoSpaceDN/>
        <w:bidi w:val="0"/>
        <w:adjustRightInd w:val="0"/>
        <w:snapToGrid w:val="0"/>
        <w:spacing w:before="120" w:beforeAutospacing="0" w:after="120" w:afterAutospacing="0" w:line="360" w:lineRule="auto"/>
        <w:ind w:firstLine="482"/>
        <w:textAlignment w:val="auto"/>
        <w:rPr>
          <w:rFonts w:ascii="宋体" w:eastAsia="宋体" w:hAnsi="宋体" w:cs="宋体" w:hint="default"/>
          <w:b/>
          <w:bCs w:val="0"/>
          <w:color w:val="auto"/>
          <w:sz w:val="24"/>
          <w:szCs w:val="24"/>
          <w:lang w:val="en-US" w:eastAsia="zh-CN"/>
        </w:rPr>
      </w:pPr>
      <w:r>
        <w:rPr>
          <w:rFonts w:ascii="宋体" w:eastAsia="宋体" w:hAnsi="宋体" w:cs="宋体" w:hint="eastAsia"/>
          <w:b/>
          <w:bCs w:val="0"/>
          <w:color w:val="auto"/>
          <w:sz w:val="24"/>
          <w:szCs w:val="24"/>
          <w:lang w:val="en-US" w:eastAsia="zh-CN"/>
        </w:rPr>
        <w:t>示例：</w:t>
      </w:r>
      <w:r>
        <w:rPr>
          <w:rFonts w:cs="宋体" w:hint="eastAsia"/>
          <w:b/>
          <w:bCs w:val="0"/>
          <w:color w:val="auto"/>
          <w:sz w:val="24"/>
          <w:szCs w:val="24"/>
          <w:lang w:val="en-US" w:eastAsia="zh-CN"/>
        </w:rPr>
        <w:t>假设商家报价为1000元/㎡(台）/月，</w:t>
      </w:r>
    </w:p>
    <w:p>
      <w:pPr>
        <w:pStyle w:val="NormalWeb"/>
        <w:keepNext w:val="0"/>
        <w:keepLines w:val="0"/>
        <w:pageBreakBefore w:val="0"/>
        <w:widowControl/>
        <w:numPr>
          <w:ilvl w:val="0"/>
          <w:numId w:val="0"/>
        </w:numPr>
        <w:kinsoku/>
        <w:wordWrap/>
        <w:overflowPunct/>
        <w:topLinePunct w:val="0"/>
        <w:autoSpaceDE/>
        <w:autoSpaceDN/>
        <w:bidi w:val="0"/>
        <w:adjustRightInd w:val="0"/>
        <w:snapToGrid w:val="0"/>
        <w:spacing w:before="120" w:beforeAutospacing="0" w:after="120" w:afterAutospacing="0" w:line="360" w:lineRule="auto"/>
        <w:ind w:firstLine="482"/>
        <w:textAlignment w:val="auto"/>
        <w:rPr>
          <w:rFonts w:cs="宋体" w:hint="eastAsia"/>
          <w:b/>
          <w:bCs w:val="0"/>
          <w:color w:val="auto"/>
          <w:sz w:val="24"/>
          <w:szCs w:val="24"/>
          <w:lang w:val="en-US" w:eastAsia="zh-CN"/>
        </w:rPr>
      </w:pPr>
      <w:r>
        <w:rPr>
          <w:rFonts w:cs="宋体" w:hint="eastAsia"/>
          <w:b/>
          <w:bCs w:val="0"/>
          <w:color w:val="auto"/>
          <w:sz w:val="24"/>
          <w:szCs w:val="24"/>
          <w:lang w:val="en-US" w:eastAsia="zh-CN"/>
        </w:rPr>
        <w:t>若当月T2候机楼实际吞吐量为380万人次，则商家需支付的实际保底租金单价为：1000*[1+（380-231.7）/231.7 *50%]=1320.03元。</w:t>
      </w:r>
    </w:p>
    <w:p>
      <w:pPr>
        <w:pStyle w:val="NormalWeb"/>
        <w:keepNext w:val="0"/>
        <w:keepLines w:val="0"/>
        <w:pageBreakBefore w:val="0"/>
        <w:widowControl/>
        <w:numPr>
          <w:ilvl w:val="0"/>
          <w:numId w:val="0"/>
        </w:numPr>
        <w:kinsoku/>
        <w:wordWrap/>
        <w:overflowPunct/>
        <w:topLinePunct w:val="0"/>
        <w:autoSpaceDE/>
        <w:autoSpaceDN/>
        <w:bidi w:val="0"/>
        <w:adjustRightInd w:val="0"/>
        <w:snapToGrid w:val="0"/>
        <w:spacing w:before="120" w:beforeAutospacing="0" w:after="120" w:afterAutospacing="0" w:line="360" w:lineRule="auto"/>
        <w:ind w:firstLine="482"/>
        <w:textAlignment w:val="auto"/>
        <w:rPr>
          <w:rFonts w:cs="宋体" w:hint="eastAsia"/>
          <w:b/>
          <w:bCs w:val="0"/>
          <w:color w:val="auto"/>
          <w:sz w:val="24"/>
          <w:szCs w:val="24"/>
          <w:lang w:val="en-US" w:eastAsia="zh-CN"/>
        </w:rPr>
      </w:pPr>
      <w:r>
        <w:rPr>
          <w:rFonts w:cs="宋体" w:hint="eastAsia"/>
          <w:b/>
          <w:bCs w:val="0"/>
          <w:color w:val="auto"/>
          <w:sz w:val="24"/>
          <w:szCs w:val="24"/>
          <w:lang w:val="en-US" w:eastAsia="zh-CN"/>
        </w:rPr>
        <w:t>若当月T2候机楼实际吞吐量为160万人次，则商家需支付的实际保底租金单价为：1000*[1+（160-231.7）/231.7]=690.55元。</w:t>
      </w:r>
    </w:p>
    <w:p>
      <w:pPr>
        <w:numPr>
          <w:ilvl w:val="0"/>
          <w:numId w:val="0"/>
        </w:numPr>
        <w:spacing w:beforeAutospacing="0" w:afterAutospacing="0" w:line="360" w:lineRule="auto"/>
        <w:ind w:left="0" w:firstLine="549"/>
        <w:rPr>
          <w:rFonts w:ascii="宋体" w:eastAsia="宋体" w:hAnsi="宋体" w:cs="宋体" w:hint="eastAsia"/>
          <w:b/>
          <w:bCs w:val="0"/>
          <w:color w:val="auto"/>
          <w:kern w:val="0"/>
          <w:sz w:val="24"/>
          <w:szCs w:val="24"/>
          <w:lang w:val="en-US" w:eastAsia="zh-CN" w:bidi="ar-SA"/>
        </w:rPr>
      </w:pPr>
      <w:r>
        <w:rPr>
          <w:rFonts w:ascii="宋体" w:eastAsia="宋体" w:hAnsi="宋体" w:cs="宋体" w:hint="eastAsia"/>
          <w:b/>
          <w:bCs w:val="0"/>
          <w:color w:val="auto"/>
          <w:kern w:val="0"/>
          <w:sz w:val="24"/>
          <w:szCs w:val="24"/>
          <w:lang w:val="en-US" w:eastAsia="zh-CN" w:bidi="ar-SA"/>
        </w:rPr>
        <w:t>此外，为确保租金水平调整比例切实符合转场时期候机楼内各区域客流情况，若各区域吞吐量差异较大，可视情况按指廊分区域联动。</w:t>
      </w:r>
    </w:p>
    <w:p>
      <w:pPr>
        <w:pStyle w:val="NormalWeb"/>
        <w:keepNext w:val="0"/>
        <w:keepLines w:val="0"/>
        <w:pageBreakBefore w:val="0"/>
        <w:widowControl/>
        <w:numPr>
          <w:ilvl w:val="0"/>
          <w:numId w:val="0"/>
        </w:numPr>
        <w:kinsoku/>
        <w:wordWrap/>
        <w:overflowPunct/>
        <w:topLinePunct w:val="0"/>
        <w:autoSpaceDE/>
        <w:autoSpaceDN/>
        <w:bidi w:val="0"/>
        <w:adjustRightInd w:val="0"/>
        <w:snapToGrid w:val="0"/>
        <w:spacing w:before="120" w:beforeAutospacing="0" w:after="120" w:afterAutospacing="0" w:line="360" w:lineRule="auto"/>
        <w:ind w:firstLine="482"/>
        <w:textAlignment w:val="auto"/>
        <w:rPr>
          <w:rFonts w:cs="宋体" w:hint="eastAsia"/>
          <w:b/>
          <w:bCs w:val="0"/>
          <w:color w:val="FF0000"/>
          <w:sz w:val="24"/>
          <w:szCs w:val="24"/>
          <w:lang w:val="en-US" w:eastAsia="zh-CN"/>
        </w:rPr>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34"/>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9C9A975"/>
    <w:multiLevelType w:val="singleLevel"/>
    <w:tmpl w:val="E9C9A975"/>
    <w:lvl w:ilvl="0">
      <w:start w:val="1"/>
      <w:numFmt w:val="decimal"/>
      <w:lvlText w:val="%1."/>
      <w:lvlJc w:val="left"/>
      <w:pPr>
        <w:ind w:left="425" w:hanging="425"/>
      </w:pPr>
      <w:rPr>
        <w:rFonts w:hint="default"/>
      </w:rPr>
    </w:lvl>
  </w:abstractNum>
  <w:abstractNum w:abstractNumId="1">
    <w:nsid w:val="20BE99B4"/>
    <w:multiLevelType w:val="singleLevel"/>
    <w:tmpl w:val="20BE99B4"/>
    <w:lvl w:ilvl="0">
      <w:start w:val="1"/>
      <w:numFmt w:val="chineseCounting"/>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Calibri" w:eastAsia="宋体" w:hAnsi="Calibri" w:cs="Times New Roman"/>
      <w:kern w:val="2"/>
      <w:sz w:val="21"/>
      <w:szCs w:val="22"/>
      <w:lang w:val="en-US" w:eastAsia="zh-CN" w:bidi="ar-SA"/>
    </w:rPr>
  </w:style>
  <w:style w:type="paragraph" w:styleId="Heading2">
    <w:name w:val="heading 2"/>
    <w:basedOn w:val="Normal"/>
    <w:next w:val="Normal"/>
    <w:unhideWhenUsed/>
    <w:qFormat/>
    <w:pPr>
      <w:keepNext/>
      <w:keepLines/>
      <w:spacing w:before="0" w:beforeAutospacing="0" w:after="0" w:afterAutospacing="0" w:line="413" w:lineRule="auto"/>
      <w:outlineLvl w:val="1"/>
    </w:pPr>
    <w:rPr>
      <w:rFonts w:ascii="Arial" w:eastAsia="黑体" w:hAnsi="Arial"/>
      <w:b/>
      <w:sz w:val="32"/>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customStyle="1" w:styleId="a">
    <w:name w:val="表格文字"/>
    <w:basedOn w:val="Normal"/>
    <w:qFormat/>
    <w:pPr>
      <w:widowControl/>
      <w:adjustRightInd w:val="0"/>
      <w:spacing w:line="420" w:lineRule="atLeast"/>
      <w:jc w:val="left"/>
      <w:textAlignment w:val="baseline"/>
    </w:pPr>
    <w:rPr>
      <w:rFonts w:ascii="Times New Roman" w:hAnsi="Times New Roman"/>
      <w:kern w:val="0"/>
      <w:sz w:val="24"/>
      <w:szCs w:val="20"/>
    </w:rPr>
  </w:style>
  <w:style w:type="paragraph" w:styleId="NormalWeb">
    <w:name w:val="Normal (Web)"/>
    <w:basedOn w:val="Normal"/>
    <w:qFormat/>
    <w:pPr>
      <w:widowControl/>
      <w:spacing w:before="100" w:beforeAutospacing="1" w:after="100" w:afterAutospacing="1"/>
      <w:jc w:val="left"/>
    </w:pPr>
    <w:rPr>
      <w:rFonts w:ascii="宋体" w:hAnsi="宋体" w:cs="宋体"/>
      <w:kern w:val="0"/>
      <w:sz w:val="24"/>
      <w:szCs w:val="24"/>
    </w:rPr>
  </w:style>
  <w:style w:type="paragraph" w:styleId="Title">
    <w:name w:val="Title"/>
    <w:basedOn w:val="Normal"/>
    <w:next w:val="Normal"/>
    <w:qFormat/>
    <w:pPr>
      <w:spacing w:before="240" w:after="60"/>
      <w:jc w:val="center"/>
      <w:outlineLvl w:val="0"/>
    </w:pPr>
    <w:rPr>
      <w:rFonts w:ascii="Calibri Light" w:hAnsi="Calibri Light"/>
      <w:b/>
      <w:bCs/>
      <w:sz w:val="32"/>
      <w:szCs w:val="32"/>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lastPrinted>2020-08-10T07:31:00Z</cp:lastPrinted>
  <dcterms:created xsi:type="dcterms:W3CDTF">2019-01-11T08:59:00Z</dcterms:created>
  <dcterms:modified xsi:type="dcterms:W3CDTF">2022-12-02T06:26:42Z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