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w:t>
      </w:r>
      <w:r>
        <w:rPr>
          <w:rFonts w:ascii="宋体" w:hAnsi="宋体" w:hint="eastAsia"/>
          <w:sz w:val="24"/>
          <w:szCs w:val="24"/>
          <w:lang w:val="en-US" w:eastAsia="zh-CN"/>
        </w:rPr>
        <w:t>2-1</w:t>
      </w:r>
      <w:r>
        <w:rPr>
          <w:rFonts w:ascii="宋体" w:hAnsi="宋体" w:hint="eastAsia"/>
          <w:sz w:val="24"/>
          <w:szCs w:val="24"/>
        </w:rPr>
        <w:t>：</w:t>
      </w:r>
    </w:p>
    <w:p>
      <w:pPr>
        <w:spacing w:line="720" w:lineRule="auto"/>
        <w:jc w:val="center"/>
        <w:rPr>
          <w:rFonts w:ascii="宋体" w:hAnsi="宋体"/>
          <w:b/>
          <w:bCs/>
          <w:sz w:val="24"/>
          <w:szCs w:val="24"/>
        </w:rPr>
      </w:pPr>
      <w:r>
        <w:rPr>
          <w:rFonts w:ascii="宋体" w:hAnsi="宋体" w:cs="宋体" w:hint="eastAsia"/>
          <w:b/>
          <w:bCs/>
          <w:kern w:val="0"/>
          <w:sz w:val="32"/>
          <w:szCs w:val="32"/>
          <w:lang w:eastAsia="zh-CN"/>
        </w:rPr>
        <w:t>复合业态</w:t>
      </w:r>
      <w:r>
        <w:rPr>
          <w:rFonts w:ascii="宋体" w:hAnsi="宋体" w:cs="宋体" w:hint="eastAsia"/>
          <w:b/>
          <w:bCs/>
          <w:kern w:val="0"/>
          <w:sz w:val="32"/>
          <w:szCs w:val="32"/>
        </w:rPr>
        <w:t>报价单</w:t>
      </w:r>
    </w:p>
    <w:p>
      <w:pPr>
        <w:spacing w:line="60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r>
        <w:rPr>
          <w:rFonts w:asciiTheme="minorEastAsia" w:eastAsiaTheme="minorEastAsia" w:hAnsiTheme="minorEastAsia" w:cstheme="minorEastAsia" w:hint="eastAsia"/>
          <w:b/>
          <w:sz w:val="24"/>
          <w:szCs w:val="24"/>
          <w:u w:val="single"/>
        </w:rPr>
        <w:t xml:space="preserve">                        </w:t>
      </w:r>
    </w:p>
    <w:p>
      <w:pPr>
        <w:spacing w:line="600" w:lineRule="auto"/>
        <w:rPr>
          <w:rFonts w:asciiTheme="minorEastAsia" w:eastAsiaTheme="minorEastAsia" w:hAnsiTheme="minorEastAsia" w:cstheme="minorEastAsia" w:hint="eastAsia"/>
          <w:b/>
          <w:sz w:val="24"/>
          <w:szCs w:val="24"/>
          <w:u w:val="none"/>
          <w:lang w:val="en-US" w:eastAsia="zh-CN"/>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rPr>
        <w:t xml:space="preserve">            </w:t>
      </w: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报价：保底</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rPr>
        <w:t>元/平米/月，</w:t>
      </w:r>
    </w:p>
    <w:p>
      <w:pPr>
        <w:numPr>
          <w:ilvl w:val="0"/>
          <w:numId w:val="0"/>
        </w:numPr>
        <w:spacing w:line="480" w:lineRule="auto"/>
        <w:ind w:firstLine="723"/>
        <w:rPr>
          <w:rFonts w:asciiTheme="minorEastAsia" w:eastAsiaTheme="minorEastAsia" w:hAnsiTheme="minorEastAsia" w:cstheme="minorEastAsia" w:hint="eastAsia"/>
          <w:b/>
          <w:sz w:val="24"/>
          <w:szCs w:val="24"/>
          <w:u w:val="single"/>
          <w:lang w:eastAsia="zh-CN"/>
        </w:rPr>
      </w:pPr>
      <w:r>
        <w:rPr>
          <w:rFonts w:asciiTheme="minorEastAsia" w:eastAsiaTheme="minorEastAsia" w:hAnsiTheme="minorEastAsia" w:cstheme="minorEastAsia" w:hint="eastAsia"/>
          <w:b/>
          <w:sz w:val="24"/>
          <w:szCs w:val="24"/>
          <w:lang w:eastAsia="zh-CN"/>
        </w:rPr>
        <w:t>烟草类销售额提成率</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lang w:val="en-US" w:eastAsia="zh-CN"/>
        </w:rPr>
        <w:t xml:space="preserve"> （如有），其它类</w:t>
      </w:r>
      <w:r>
        <w:rPr>
          <w:rFonts w:asciiTheme="minorEastAsia" w:eastAsiaTheme="minorEastAsia" w:hAnsiTheme="minorEastAsia" w:cstheme="minorEastAsia" w:hint="eastAsia"/>
          <w:b/>
          <w:sz w:val="24"/>
          <w:szCs w:val="24"/>
        </w:rPr>
        <w:t>销售额提成率</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p>
    <w:p>
      <w:pPr>
        <w:spacing w:line="720" w:lineRule="auto"/>
        <w:rPr>
          <w:rFonts w:asciiTheme="minorEastAsia" w:eastAsiaTheme="minorEastAsia" w:hAnsiTheme="minorEastAsia" w:cstheme="minorEastAsia" w:hint="eastAsia"/>
          <w:b/>
          <w:sz w:val="24"/>
          <w:szCs w:val="24"/>
          <w:u w:val="none"/>
          <w:lang w:val="en-US" w:eastAsia="zh-CN"/>
        </w:rPr>
      </w:pPr>
      <w:r>
        <w:rPr>
          <w:rFonts w:asciiTheme="minorEastAsia" w:eastAsiaTheme="minorEastAsia" w:hAnsiTheme="minorEastAsia" w:cstheme="minorEastAsia" w:hint="eastAsia"/>
          <w:b/>
          <w:sz w:val="24"/>
          <w:szCs w:val="24"/>
          <w:u w:val="none"/>
          <w:lang w:val="en-US" w:eastAsia="zh-CN"/>
        </w:rPr>
        <w:t>业态及面积：</w:t>
      </w:r>
    </w:p>
    <w:p>
      <w:pPr>
        <w:spacing w:line="600" w:lineRule="auto"/>
        <w:rPr>
          <w:rFonts w:asciiTheme="minorEastAsia" w:eastAsiaTheme="minorEastAsia" w:hAnsiTheme="minorEastAsia" w:cstheme="minorEastAsia" w:hint="eastAsia"/>
          <w:b/>
          <w:sz w:val="24"/>
          <w:szCs w:val="24"/>
          <w:u w:val="none"/>
          <w:lang w:eastAsia="zh-CN"/>
        </w:rPr>
      </w:pPr>
      <w:r>
        <w:rPr>
          <w:rFonts w:asciiTheme="minorEastAsia" w:eastAsiaTheme="minorEastAsia" w:hAnsiTheme="minorEastAsia" w:cstheme="minorEastAsia" w:hint="eastAsia"/>
          <w:b/>
          <w:sz w:val="24"/>
          <w:szCs w:val="24"/>
          <w:u w:val="none"/>
          <w:lang w:val="en-US" w:eastAsia="zh-CN"/>
        </w:rPr>
        <w:t>业态1名称：</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，具体经营品牌或项目</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none"/>
          <w:lang w:val="en-US" w:eastAsia="zh-CN"/>
        </w:rPr>
        <w:t xml:space="preserve"> ，面积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val="en-US" w:eastAsia="zh-CN"/>
        </w:rPr>
        <w:t>㎡</w:t>
      </w:r>
      <w:r>
        <w:rPr>
          <w:rFonts w:asciiTheme="minorEastAsia" w:eastAsiaTheme="minorEastAsia" w:hAnsiTheme="minorEastAsia" w:cstheme="minorEastAsia" w:hint="eastAsia"/>
          <w:b/>
          <w:sz w:val="24"/>
          <w:szCs w:val="24"/>
          <w:u w:val="none"/>
          <w:lang w:eastAsia="zh-CN"/>
        </w:rPr>
        <w:t>；</w:t>
      </w:r>
    </w:p>
    <w:p>
      <w:pPr>
        <w:spacing w:line="600" w:lineRule="auto"/>
        <w:rPr>
          <w:rFonts w:asciiTheme="minorEastAsia" w:eastAsiaTheme="minorEastAsia" w:hAnsiTheme="minorEastAsia" w:cstheme="minorEastAsia" w:hint="eastAsia"/>
          <w:b/>
          <w:sz w:val="24"/>
          <w:szCs w:val="24"/>
          <w:u w:val="none"/>
          <w:lang w:eastAsia="zh-CN"/>
        </w:rPr>
      </w:pPr>
      <w:r>
        <w:rPr>
          <w:rFonts w:asciiTheme="minorEastAsia" w:eastAsiaTheme="minorEastAsia" w:hAnsiTheme="minorEastAsia" w:cstheme="minorEastAsia" w:hint="eastAsia"/>
          <w:b/>
          <w:sz w:val="24"/>
          <w:szCs w:val="24"/>
          <w:u w:val="none"/>
          <w:lang w:val="en-US" w:eastAsia="zh-CN"/>
        </w:rPr>
        <w:t>业态2名称：</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，具体经营品牌或项目</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none"/>
          <w:lang w:val="en-US" w:eastAsia="zh-CN"/>
        </w:rPr>
        <w:t xml:space="preserve"> ，面积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val="en-US" w:eastAsia="zh-CN"/>
        </w:rPr>
        <w:t>㎡</w:t>
      </w:r>
      <w:r>
        <w:rPr>
          <w:rFonts w:asciiTheme="minorEastAsia" w:eastAsiaTheme="minorEastAsia" w:hAnsiTheme="minorEastAsia" w:cstheme="minorEastAsia" w:hint="eastAsia"/>
          <w:b/>
          <w:sz w:val="24"/>
          <w:szCs w:val="24"/>
          <w:u w:val="none"/>
          <w:lang w:eastAsia="zh-CN"/>
        </w:rPr>
        <w:t>；</w:t>
      </w:r>
    </w:p>
    <w:p>
      <w:pPr>
        <w:spacing w:line="600" w:lineRule="auto"/>
        <w:rPr>
          <w:rFonts w:asciiTheme="minorEastAsia" w:eastAsiaTheme="minorEastAsia" w:hAnsiTheme="minorEastAsia" w:cstheme="minorEastAsia" w:hint="eastAsia"/>
          <w:b/>
          <w:sz w:val="24"/>
          <w:szCs w:val="24"/>
          <w:u w:val="none"/>
          <w:lang w:val="en-US" w:eastAsia="zh-CN"/>
        </w:rPr>
      </w:pPr>
      <w:r>
        <w:rPr>
          <w:rFonts w:asciiTheme="minorEastAsia" w:eastAsiaTheme="minorEastAsia" w:hAnsiTheme="minorEastAsia" w:cstheme="minorEastAsia" w:hint="eastAsia"/>
          <w:b/>
          <w:sz w:val="24"/>
          <w:szCs w:val="24"/>
          <w:u w:val="none"/>
          <w:lang w:val="en-US" w:eastAsia="zh-CN"/>
        </w:rPr>
        <w:t>业态3名称：</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，具体经营品牌或项目</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none"/>
          <w:lang w:val="en-US" w:eastAsia="zh-CN"/>
        </w:rPr>
        <w:t xml:space="preserve"> ，面积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val="en-US" w:eastAsia="zh-CN"/>
        </w:rPr>
        <w:t>㎡</w:t>
      </w:r>
      <w:r>
        <w:rPr>
          <w:rFonts w:asciiTheme="minorEastAsia" w:eastAsiaTheme="minorEastAsia" w:hAnsiTheme="minorEastAsia" w:cstheme="minorEastAsia" w:hint="eastAsia"/>
          <w:b/>
          <w:sz w:val="24"/>
          <w:szCs w:val="24"/>
          <w:u w:val="none"/>
          <w:lang w:eastAsia="zh-CN"/>
        </w:rPr>
        <w:t>。</w:t>
      </w:r>
    </w:p>
    <w:p>
      <w:pPr>
        <w:numPr>
          <w:ilvl w:val="0"/>
          <w:numId w:val="0"/>
        </w:numPr>
        <w:spacing w:line="360" w:lineRule="auto"/>
        <w:rPr>
          <w:rFonts w:ascii="宋体" w:hAnsi="宋体" w:hint="eastAsia"/>
          <w:b/>
          <w:bCs/>
          <w:color w:val="auto"/>
          <w:sz w:val="22"/>
          <w:szCs w:val="24"/>
          <w:lang w:val="en-US" w:eastAsia="zh-CN"/>
        </w:rPr>
      </w:pPr>
      <w:r>
        <w:rPr>
          <w:rFonts w:ascii="宋体" w:hAnsi="宋体" w:hint="eastAsia"/>
          <w:b/>
          <w:bCs/>
          <w:color w:val="auto"/>
          <w:sz w:val="22"/>
          <w:szCs w:val="24"/>
          <w:lang w:val="en-US" w:eastAsia="zh-CN"/>
        </w:rPr>
        <w:t>提示：</w:t>
      </w:r>
    </w:p>
    <w:p>
      <w:pPr>
        <w:numPr>
          <w:ilvl w:val="0"/>
          <w:numId w:val="0"/>
        </w:numPr>
        <w:spacing w:line="360" w:lineRule="auto"/>
        <w:rPr>
          <w:rFonts w:ascii="宋体" w:eastAsia="宋体" w:hAnsi="宋体"/>
          <w:color w:val="auto"/>
          <w:sz w:val="22"/>
          <w:szCs w:val="24"/>
        </w:rPr>
      </w:pPr>
      <w:r>
        <w:rPr>
          <w:rFonts w:ascii="宋体" w:hAnsi="宋体" w:cs="宋体" w:hint="eastAsia"/>
          <w:b w:val="0"/>
          <w:bCs w:val="0"/>
          <w:sz w:val="24"/>
          <w:szCs w:val="24"/>
          <w:highlight w:val="none"/>
          <w:lang w:val="en-US" w:eastAsia="zh-CN"/>
        </w:rPr>
        <w:t>（1）</w:t>
      </w:r>
      <w:r>
        <w:rPr>
          <w:rFonts w:ascii="宋体" w:eastAsia="宋体" w:hAnsi="宋体" w:cs="宋体" w:hint="eastAsia"/>
          <w:b/>
          <w:bCs/>
          <w:sz w:val="24"/>
          <w:szCs w:val="24"/>
          <w:highlight w:val="none"/>
          <w:lang w:val="en-US" w:eastAsia="zh-CN"/>
        </w:rPr>
        <w:t>DEP-R-1D</w:t>
      </w:r>
      <w:r>
        <w:rPr>
          <w:rFonts w:ascii="宋体" w:hAnsi="宋体" w:cs="宋体" w:hint="eastAsia"/>
          <w:b/>
          <w:bCs/>
          <w:sz w:val="24"/>
          <w:szCs w:val="24"/>
          <w:highlight w:val="none"/>
          <w:lang w:val="en-US" w:eastAsia="zh-CN"/>
        </w:rPr>
        <w:t>、DEP-R-17D标段</w:t>
      </w:r>
      <w:r>
        <w:rPr>
          <w:rFonts w:ascii="宋体" w:hAnsi="宋体" w:hint="eastAsia"/>
          <w:color w:val="auto"/>
          <w:sz w:val="22"/>
          <w:szCs w:val="24"/>
          <w:lang w:val="en-US" w:eastAsia="zh-CN"/>
        </w:rPr>
        <w:t>业态名称为：品牌</w:t>
      </w:r>
      <w:r>
        <w:rPr>
          <w:rFonts w:cs="宋体" w:hint="eastAsia"/>
          <w:sz w:val="22"/>
          <w:szCs w:val="24"/>
          <w:lang w:eastAsia="zh-CN"/>
        </w:rPr>
        <w:t>百货、食品特产</w:t>
      </w:r>
      <w:r>
        <w:rPr>
          <w:rFonts w:cs="宋体" w:hint="eastAsia"/>
          <w:color w:val="0000FF"/>
          <w:sz w:val="22"/>
          <w:szCs w:val="24"/>
          <w:lang w:eastAsia="zh-CN"/>
        </w:rPr>
        <w:t>【若售卖香烟，请在经营品牌或项目后注明，例如“四川特产（售卖香烟）”；并在面积处注明香烟类经营面积，例如“</w:t>
      </w:r>
      <w:r>
        <w:rPr>
          <w:rFonts w:cs="宋体" w:hint="eastAsia"/>
          <w:color w:val="0000FF"/>
          <w:sz w:val="22"/>
          <w:szCs w:val="24"/>
          <w:lang w:val="en-US" w:eastAsia="zh-CN"/>
        </w:rPr>
        <w:t>100㎡（其中香烟10㎡）</w:t>
      </w:r>
      <w:r>
        <w:rPr>
          <w:rFonts w:cs="宋体" w:hint="eastAsia"/>
          <w:color w:val="0000FF"/>
          <w:sz w:val="22"/>
          <w:szCs w:val="24"/>
          <w:lang w:eastAsia="zh-CN"/>
        </w:rPr>
        <w:t>”】</w:t>
      </w:r>
      <w:r>
        <w:rPr>
          <w:rFonts w:cs="宋体" w:hint="eastAsia"/>
          <w:sz w:val="22"/>
          <w:szCs w:val="24"/>
          <w:lang w:eastAsia="zh-CN"/>
        </w:rPr>
        <w:t>、休闲体验</w:t>
      </w:r>
      <w:r>
        <w:rPr>
          <w:rFonts w:cs="宋体" w:hint="eastAsia"/>
          <w:b w:val="0"/>
          <w:bCs w:val="0"/>
          <w:sz w:val="22"/>
          <w:szCs w:val="24"/>
          <w:lang w:eastAsia="zh-CN"/>
        </w:rPr>
        <w:t>，</w:t>
      </w:r>
      <w:r>
        <w:rPr>
          <w:rFonts w:cs="宋体" w:hint="eastAsia"/>
          <w:sz w:val="22"/>
          <w:szCs w:val="24"/>
          <w:lang w:eastAsia="zh-CN"/>
        </w:rPr>
        <w:t>请按照实际投报情况填写，至少经营</w:t>
      </w:r>
      <w:r>
        <w:rPr>
          <w:rFonts w:cs="宋体" w:hint="eastAsia"/>
          <w:sz w:val="22"/>
          <w:szCs w:val="24"/>
          <w:lang w:val="en-US" w:eastAsia="zh-CN"/>
        </w:rPr>
        <w:t>2种业态，</w:t>
      </w:r>
      <w:r>
        <w:rPr>
          <w:rFonts w:cs="宋体" w:hint="eastAsia"/>
          <w:sz w:val="22"/>
          <w:szCs w:val="24"/>
          <w:lang w:eastAsia="zh-CN"/>
        </w:rPr>
        <w:t>不经营业态不填写；</w:t>
      </w:r>
    </w:p>
    <w:p>
      <w:pPr>
        <w:numPr>
          <w:ilvl w:val="0"/>
          <w:numId w:val="0"/>
        </w:numPr>
        <w:spacing w:line="240" w:lineRule="auto"/>
      </w:pPr>
      <w:r>
        <w:rPr>
          <w:rFonts w:ascii="宋体" w:hAnsi="宋体" w:cs="Times New Roman" w:hint="eastAsia"/>
          <w:color w:val="auto"/>
          <w:sz w:val="22"/>
          <w:szCs w:val="24"/>
          <w:lang w:val="en-US" w:eastAsia="zh-CN"/>
        </w:rPr>
        <w:t>（2）</w:t>
      </w:r>
      <w:r>
        <w:rPr>
          <w:rFonts w:ascii="宋体" w:eastAsia="宋体" w:hAnsi="宋体" w:cs="Times New Roman" w:hint="eastAsia"/>
          <w:color w:val="auto"/>
          <w:sz w:val="22"/>
          <w:szCs w:val="24"/>
          <w:lang w:val="en-US" w:eastAsia="zh-CN"/>
        </w:rPr>
        <w:t>具体的经营品牌或项目作为是否与周边店铺冲突的重要考量因素，请商家谨慎填写</w:t>
      </w:r>
      <w:r>
        <w:rPr>
          <w:rFonts w:ascii="宋体" w:hAnsi="宋体" w:cs="Times New Roman" w:hint="eastAsia"/>
          <w:color w:val="auto"/>
          <w:sz w:val="22"/>
          <w:szCs w:val="24"/>
          <w:lang w:val="en-US" w:eastAsia="zh-CN"/>
        </w:rPr>
        <w:t>；</w:t>
      </w:r>
    </w:p>
    <w:p>
      <w:pPr>
        <w:numPr>
          <w:ilvl w:val="0"/>
          <w:numId w:val="0"/>
        </w:numPr>
        <w:spacing w:line="240" w:lineRule="auto"/>
      </w:pPr>
      <w:r>
        <w:rPr>
          <w:rFonts w:ascii="宋体" w:hAnsi="宋体" w:cs="Times New Roman" w:hint="eastAsia"/>
          <w:color w:val="auto"/>
          <w:sz w:val="22"/>
          <w:szCs w:val="24"/>
          <w:lang w:val="en-US" w:eastAsia="zh-CN"/>
        </w:rPr>
        <w:t>（3）</w:t>
      </w:r>
      <w:r>
        <w:rPr>
          <w:rFonts w:ascii="宋体" w:eastAsia="宋体" w:hAnsi="宋体" w:cs="Times New Roman" w:hint="eastAsia"/>
          <w:color w:val="auto"/>
          <w:sz w:val="22"/>
          <w:szCs w:val="24"/>
          <w:lang w:val="en-US" w:eastAsia="zh-CN"/>
        </w:rPr>
        <w:t>各业态面积将影响最终评分结果，不能随意更改，请谨慎填报</w:t>
      </w:r>
      <w:r>
        <w:rPr>
          <w:rFonts w:ascii="宋体" w:eastAsia="宋体" w:hAnsi="宋体" w:cs="Times New Roman" w:hint="eastAsia"/>
          <w:color w:val="auto"/>
          <w:kern w:val="2"/>
          <w:sz w:val="22"/>
          <w:szCs w:val="24"/>
          <w:lang w:val="en-US" w:eastAsia="zh-CN" w:bidi="ar-SA"/>
        </w:rPr>
        <w:t>；</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ascii="Times New Roman" w:hAnsi="Times New Roman" w:hint="eastAsia"/>
          <w:b w:val="0"/>
          <w:bCs/>
          <w:color w:val="auto"/>
          <w:sz w:val="24"/>
          <w:szCs w:val="24"/>
          <w:highlight w:val="none"/>
          <w:shd w:val="clear" w:color="auto" w:fill="FFFFFF"/>
          <w:lang w:val="en-US" w:eastAsia="zh-CN"/>
        </w:rPr>
      </w:pPr>
      <w:r>
        <w:rPr>
          <w:rFonts w:ascii="宋体" w:hAnsi="宋体" w:cs="Times New Roman" w:hint="eastAsia"/>
          <w:color w:val="auto"/>
          <w:kern w:val="2"/>
          <w:sz w:val="22"/>
          <w:szCs w:val="24"/>
          <w:lang w:val="en-US" w:eastAsia="zh-CN" w:bidi="ar-SA"/>
        </w:rPr>
        <w:t>（4）</w:t>
      </w:r>
      <w:r>
        <w:rPr>
          <w:rFonts w:hint="eastAsia"/>
          <w:b w:val="0"/>
          <w:bCs w:val="0"/>
          <w:color w:val="auto"/>
          <w:sz w:val="24"/>
          <w:szCs w:val="24"/>
          <w:highlight w:val="none"/>
          <w:shd w:val="clear" w:color="auto" w:fill="FFFFFF"/>
          <w:lang w:eastAsia="zh-CN"/>
        </w:rPr>
        <w:t>由于天府新机场已</w:t>
      </w:r>
      <w:r>
        <w:rPr>
          <w:rFonts w:hint="eastAsia"/>
          <w:b w:val="0"/>
          <w:bCs w:val="0"/>
          <w:color w:val="auto"/>
          <w:sz w:val="24"/>
          <w:szCs w:val="24"/>
          <w:highlight w:val="none"/>
          <w:shd w:val="clear" w:color="auto" w:fill="FFFFFF"/>
          <w:lang w:val="en-US" w:eastAsia="zh-CN"/>
        </w:rPr>
        <w:t>启用，部分航班明年3月将完成最后转场，届时可能对本场客流量造成一定影响。</w:t>
      </w:r>
      <w:r>
        <w:rPr>
          <w:rFonts w:ascii="Times New Roman" w:hAnsi="Times New Roman" w:hint="eastAsia"/>
          <w:b w:val="0"/>
          <w:bCs/>
          <w:color w:val="auto"/>
          <w:sz w:val="24"/>
          <w:szCs w:val="24"/>
          <w:highlight w:val="none"/>
          <w:shd w:val="clear" w:color="auto" w:fill="FFFFFF"/>
          <w:lang w:val="en-US" w:eastAsia="zh-CN"/>
        </w:rPr>
        <w:t>T1航站楼国内区域计划于2023年上半年择期关闭改造，届时川航将搬至D指廊、CD连廊运行，预计</w:t>
      </w:r>
      <w:bookmarkStart w:id="0" w:name="_GoBack"/>
      <w:bookmarkEnd w:id="0"/>
      <w:r>
        <w:rPr>
          <w:rFonts w:ascii="Times New Roman" w:hAnsi="Times New Roman" w:hint="eastAsia"/>
          <w:b w:val="0"/>
          <w:bCs/>
          <w:color w:val="auto"/>
          <w:sz w:val="24"/>
          <w:szCs w:val="24"/>
          <w:highlight w:val="none"/>
          <w:shd w:val="clear" w:color="auto" w:fill="FFFFFF"/>
          <w:lang w:val="en-US" w:eastAsia="zh-CN"/>
        </w:rPr>
        <w:t>2024年下半年T1改造完成后川航将搬回至T1航站楼，故D指廊及途经的DE连廊区域</w:t>
      </w:r>
      <w:r>
        <w:rPr>
          <w:rFonts w:ascii="Times New Roman" w:eastAsia="宋体" w:hAnsi="Times New Roman" w:hint="eastAsia"/>
          <w:b w:val="0"/>
          <w:bCs/>
          <w:color w:val="auto"/>
          <w:sz w:val="24"/>
          <w:szCs w:val="24"/>
          <w:highlight w:val="none"/>
          <w:shd w:val="clear" w:color="auto" w:fill="FFFFFF"/>
          <w:lang w:val="en-US" w:eastAsia="zh-CN"/>
        </w:rPr>
        <w:t>客流量</w:t>
      </w:r>
      <w:r>
        <w:rPr>
          <w:rFonts w:ascii="Times New Roman" w:hAnsi="Times New Roman" w:hint="eastAsia"/>
          <w:b w:val="0"/>
          <w:bCs/>
          <w:color w:val="auto"/>
          <w:sz w:val="24"/>
          <w:szCs w:val="24"/>
          <w:highlight w:val="none"/>
          <w:shd w:val="clear" w:color="auto" w:fill="FFFFFF"/>
          <w:lang w:val="en-US" w:eastAsia="zh-CN"/>
        </w:rPr>
        <w:t>会相应的受到影响。</w:t>
      </w:r>
    </w:p>
    <w:p>
      <w:pPr>
        <w:numPr>
          <w:ilvl w:val="0"/>
          <w:numId w:val="0"/>
        </w:numPr>
        <w:spacing w:line="240" w:lineRule="auto"/>
        <w:rPr>
          <w:rFonts w:hint="eastAsia"/>
          <w:lang w:val="en-US" w:eastAsia="zh-CN"/>
        </w:rPr>
      </w:pPr>
    </w:p>
    <w:p>
      <w:pPr>
        <w:spacing w:line="360" w:lineRule="auto"/>
        <w:rPr>
          <w:rFonts w:ascii="宋体" w:hAnsi="宋体" w:hint="eastAsia"/>
          <w:b/>
          <w:sz w:val="24"/>
          <w:szCs w:val="24"/>
        </w:rPr>
      </w:pPr>
      <w:r>
        <w:rPr>
          <w:rFonts w:ascii="宋体" w:hAnsi="宋体" w:hint="eastAsia"/>
          <w:b/>
          <w:color w:val="auto"/>
          <w:sz w:val="24"/>
          <w:szCs w:val="24"/>
        </w:rPr>
        <w:t xml:space="preserve">经营期限: </w:t>
      </w:r>
      <w:r>
        <w:rPr>
          <w:rFonts w:ascii="宋体" w:hAnsi="宋体" w:hint="eastAsia"/>
          <w:b/>
          <w:color w:val="auto"/>
          <w:sz w:val="24"/>
          <w:szCs w:val="24"/>
          <w:u w:val="single"/>
        </w:rPr>
        <w:t xml:space="preserve">       </w:t>
      </w:r>
      <w:r>
        <w:rPr>
          <w:rFonts w:ascii="宋体" w:hAnsi="宋体" w:hint="eastAsia"/>
          <w:b/>
          <w:color w:val="auto"/>
          <w:sz w:val="24"/>
          <w:szCs w:val="24"/>
        </w:rPr>
        <w:t>年</w:t>
      </w:r>
      <w:r>
        <w:rPr>
          <w:rFonts w:ascii="宋体" w:hAnsi="宋体" w:hint="eastAsia"/>
          <w:b/>
          <w:color w:val="auto"/>
          <w:sz w:val="24"/>
          <w:szCs w:val="24"/>
          <w:lang w:val="en-US" w:eastAsia="zh-CN"/>
        </w:rPr>
        <w:t xml:space="preserve"> (1 - 5年</w:t>
      </w:r>
      <w:r>
        <w:rPr>
          <w:rFonts w:ascii="宋体" w:hAnsi="宋体" w:hint="eastAsia"/>
          <w:b/>
          <w:sz w:val="24"/>
          <w:szCs w:val="24"/>
          <w:lang w:val="en-US" w:eastAsia="zh-CN"/>
        </w:rPr>
        <w:t>，</w:t>
      </w:r>
      <w:r>
        <w:rPr>
          <w:rFonts w:ascii="宋体" w:hAnsi="宋体" w:hint="eastAsia"/>
          <w:b/>
          <w:sz w:val="24"/>
          <w:szCs w:val="24"/>
        </w:rPr>
        <w:t>商家可</w:t>
      </w:r>
      <w:r>
        <w:rPr>
          <w:rFonts w:ascii="宋体" w:hAnsi="宋体" w:hint="eastAsia"/>
          <w:b/>
          <w:sz w:val="24"/>
          <w:szCs w:val="24"/>
          <w:lang w:eastAsia="zh-CN"/>
        </w:rPr>
        <w:t>自行选择填报</w:t>
      </w:r>
      <w:r>
        <w:rPr>
          <w:rFonts w:ascii="宋体" w:hAnsi="宋体" w:hint="eastAsia"/>
          <w:b/>
          <w:sz w:val="24"/>
          <w:szCs w:val="24"/>
        </w:rPr>
        <w:t>)</w:t>
      </w:r>
    </w:p>
    <w:p>
      <w:pPr>
        <w:spacing w:line="720" w:lineRule="auto"/>
        <w:rPr>
          <w:rFonts w:ascii="宋体" w:hAnsi="宋体" w:hint="eastAsia"/>
          <w:b/>
          <w:sz w:val="24"/>
          <w:szCs w:val="24"/>
        </w:rPr>
      </w:pPr>
    </w:p>
    <w:p>
      <w:pPr>
        <w:spacing w:line="360" w:lineRule="auto"/>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r>
        <w:rPr>
          <w:rFonts w:ascii="宋体" w:hAnsi="宋体" w:hint="eastAsia"/>
          <w:b/>
          <w:sz w:val="24"/>
          <w:szCs w:val="24"/>
        </w:rPr>
        <w:t>时间：</w:t>
      </w:r>
    </w:p>
    <w:p>
      <w:pPr>
        <w:spacing w:line="360" w:lineRule="auto"/>
        <w:rPr>
          <w:rFonts w:ascii="宋体" w:hAnsi="宋体" w:hint="eastAsia"/>
          <w:b/>
          <w:sz w:val="24"/>
          <w:szCs w:val="24"/>
        </w:rPr>
      </w:pPr>
    </w:p>
    <w:p>
      <w:pPr>
        <w:spacing w:line="360" w:lineRule="auto"/>
        <w:rPr>
          <w:rFonts w:ascii="宋体" w:hAnsi="宋体" w:hint="eastAsia"/>
          <w:b/>
          <w:sz w:val="24"/>
          <w:szCs w:val="24"/>
        </w:rPr>
      </w:pPr>
    </w:p>
    <w:p>
      <w:pPr>
        <w:spacing w:line="360" w:lineRule="auto"/>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NormalWeb"/>
        <w:keepNext w:val="0"/>
        <w:keepLines w:val="0"/>
        <w:pageBreakBefore w:val="0"/>
        <w:widowControl/>
        <w:numPr>
          <w:ilvl w:val="0"/>
          <w:numId w:val="1"/>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bookmarkStart w:id="1" w:name="_Toc28443"/>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1"/>
      <w:r>
        <w:rPr>
          <w:rFonts w:ascii="仿宋" w:eastAsia="仿宋" w:hAnsi="仿宋" w:cs="仿宋" w:hint="eastAsia"/>
          <w:b w:val="0"/>
          <w:bCs w:val="0"/>
          <w:sz w:val="24"/>
          <w:szCs w:val="24"/>
          <w:lang w:val="en-US" w:eastAsia="zh-CN"/>
        </w:rPr>
        <w:t>备注：自助设备实测面积为台数。</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a"/>
      </w:pPr>
    </w:p>
    <w:sectPr>
      <w:pgSz w:w="11906" w:h="16838"/>
      <w:pgMar w:top="703" w:right="1800" w:bottom="249"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2019-01-11T08:59:00Z</dcterms:created>
  <dcterms:modified xsi:type="dcterms:W3CDTF">2022-12-02T06:27:05Z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