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附件2：</w:t>
      </w:r>
    </w:p>
    <w:p>
      <w:pPr>
        <w:pStyle w:val="Title"/>
        <w:jc w:val="center"/>
        <w:rPr>
          <w:rFonts w:ascii="宋体" w:hAnsi="宋体" w:cs="宋体" w:hint="eastAsia"/>
          <w:bCs w:val="0"/>
          <w:kern w:val="0"/>
        </w:rPr>
      </w:pPr>
      <w:r>
        <w:rPr>
          <w:rFonts w:ascii="宋体" w:hAnsi="宋体" w:cs="宋体" w:hint="eastAsia"/>
          <w:bCs w:val="0"/>
          <w:kern w:val="0"/>
        </w:rPr>
        <w:t>报价单</w:t>
      </w:r>
    </w:p>
    <w:p/>
    <w:p>
      <w:pPr>
        <w:spacing w:line="48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right="0" w:firstLine="420"/>
        <w:jc w:val="both"/>
        <w:textAlignment w:val="auto"/>
        <w:outlineLvl w:val="9"/>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lang w:val="en-US" w:eastAsia="zh-CN"/>
        </w:rPr>
        <w:t xml:space="preserve">                          </w:t>
      </w:r>
    </w:p>
    <w:p>
      <w:pPr>
        <w:numPr>
          <w:ilvl w:val="0"/>
          <w:numId w:val="0"/>
        </w:numPr>
        <w:spacing w:line="480" w:lineRule="auto"/>
        <w:rPr>
          <w:rFonts w:asciiTheme="minorEastAsia" w:eastAsiaTheme="minorEastAsia" w:hAnsiTheme="minorEastAsia" w:cstheme="minorEastAsia" w:hint="eastAsia"/>
          <w:b/>
          <w:sz w:val="24"/>
          <w:szCs w:val="24"/>
        </w:rPr>
      </w:pPr>
      <w:r>
        <w:rPr>
          <w:rFonts w:asciiTheme="minorEastAsia" w:eastAsiaTheme="minorEastAsia" w:hAnsiTheme="minorEastAsia" w:cstheme="minorEastAsia" w:hint="eastAsia"/>
          <w:b/>
          <w:color w:val="0000FF"/>
          <w:sz w:val="24"/>
          <w:szCs w:val="24"/>
          <w:shd w:val="clear" w:color="auto" w:fill="FFFFFF"/>
          <w:lang w:eastAsia="zh-CN"/>
        </w:rPr>
        <w:t>（商家请认真填写申报的标段号，错报标段号视为报名无效，不予评分。</w:t>
      </w:r>
      <w:r>
        <w:rPr>
          <w:rFonts w:asciiTheme="minorEastAsia" w:eastAsiaTheme="minorEastAsia" w:hAnsiTheme="minorEastAsia" w:cstheme="minorEastAsia" w:hint="eastAsia"/>
          <w:b/>
          <w:color w:val="0000FF"/>
          <w:sz w:val="24"/>
          <w:szCs w:val="24"/>
          <w:shd w:val="clear" w:color="auto" w:fill="FFFFFF"/>
          <w:lang w:val="en-US" w:eastAsia="zh-CN"/>
        </w:rPr>
        <w:t>)</w:t>
      </w:r>
    </w:p>
    <w:p>
      <w:pPr>
        <w:numPr>
          <w:ilvl w:val="0"/>
          <w:numId w:val="1"/>
        </w:numPr>
        <w:spacing w:line="480" w:lineRule="auto"/>
        <w:ind w:left="0" w:firstLine="420"/>
        <w:rPr>
          <w:rFonts w:asciiTheme="minorEastAsia" w:eastAsiaTheme="minorEastAsia" w:hAnsiTheme="minorEastAsia" w:cstheme="minorEastAsia" w:hint="eastAsia"/>
          <w:b/>
          <w:sz w:val="24"/>
          <w:szCs w:val="24"/>
          <w:u w:val="single"/>
          <w:lang w:eastAsia="zh-CN"/>
        </w:rPr>
      </w:pPr>
      <w:r>
        <w:rPr>
          <w:rFonts w:asciiTheme="minorEastAsia" w:eastAsiaTheme="minorEastAsia" w:hAnsiTheme="minorEastAsia" w:cstheme="minorEastAsia" w:hint="eastAsia"/>
          <w:b/>
          <w:sz w:val="24"/>
          <w:szCs w:val="24"/>
        </w:rPr>
        <w:t>报价：</w:t>
      </w:r>
    </w:p>
    <w:p>
      <w:pPr>
        <w:numPr>
          <w:numId w:val="0"/>
        </w:numPr>
        <w:spacing w:line="480" w:lineRule="auto"/>
        <w:ind w:left="420"/>
        <w:rPr>
          <w:rFonts w:asciiTheme="minorEastAsia" w:eastAsiaTheme="minorEastAsia" w:hAnsiTheme="minorEastAsia" w:cstheme="minorEastAsia" w:hint="eastAsia"/>
          <w:b/>
          <w:sz w:val="24"/>
          <w:szCs w:val="24"/>
          <w:u w:val="single"/>
          <w:lang w:eastAsia="zh-CN"/>
        </w:rPr>
      </w:pPr>
      <w:bookmarkStart w:id="0" w:name="_GoBack"/>
      <w:bookmarkEnd w:id="0"/>
      <w:r>
        <w:rPr>
          <w:rFonts w:asciiTheme="minorEastAsia" w:eastAsiaTheme="minorEastAsia" w:hAnsiTheme="minorEastAsia" w:cstheme="minorEastAsia" w:hint="eastAsia"/>
          <w:b/>
          <w:sz w:val="24"/>
          <w:szCs w:val="24"/>
        </w:rPr>
        <w:t>保底</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rPr>
        <w:t>元/平米/月，销售额提成率</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p>
    <w:p>
      <w:pPr>
        <w:pStyle w:val="a"/>
        <w:rPr>
          <w:rFonts w:hint="eastAsia"/>
          <w:lang w:eastAsia="zh-CN"/>
        </w:rPr>
      </w:pPr>
    </w:p>
    <w:p>
      <w:pPr>
        <w:pStyle w:val="a"/>
        <w:rPr>
          <w:rFonts w:hint="eastAsia"/>
          <w:lang w:val="en-US" w:eastAsia="zh-CN"/>
        </w:rPr>
      </w:pPr>
    </w:p>
    <w:p>
      <w:pPr>
        <w:numPr>
          <w:ilvl w:val="0"/>
          <w:numId w:val="1"/>
        </w:numPr>
        <w:spacing w:line="720" w:lineRule="auto"/>
        <w:ind w:left="0" w:firstLine="420"/>
        <w:rPr>
          <w:rFonts w:asciiTheme="minorEastAsia" w:eastAsiaTheme="minorEastAsia" w:hAnsiTheme="minorEastAsia" w:cstheme="minorEastAsia" w:hint="eastAsia"/>
          <w:b/>
          <w:sz w:val="24"/>
          <w:szCs w:val="24"/>
          <w:lang w:eastAsia="zh-CN"/>
        </w:rPr>
      </w:pPr>
      <w:r>
        <w:rPr>
          <w:rFonts w:asciiTheme="minorEastAsia" w:eastAsiaTheme="minorEastAsia" w:hAnsiTheme="minorEastAsia" w:cstheme="minorEastAsia" w:hint="eastAsia"/>
          <w:b/>
          <w:sz w:val="24"/>
          <w:szCs w:val="24"/>
        </w:rPr>
        <w:t>经营期限:</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rPr>
        <w:t>年(</w:t>
      </w:r>
      <w:r>
        <w:rPr>
          <w:rFonts w:asciiTheme="minorEastAsia" w:eastAsiaTheme="minorEastAsia" w:hAnsiTheme="minorEastAsia" w:cstheme="minorEastAsia" w:hint="eastAsia"/>
          <w:b/>
          <w:sz w:val="24"/>
          <w:szCs w:val="24"/>
          <w:lang w:val="en-US" w:eastAsia="zh-CN"/>
        </w:rPr>
        <w:t>1-5年，</w:t>
      </w:r>
      <w:r>
        <w:rPr>
          <w:rFonts w:asciiTheme="minorEastAsia" w:eastAsiaTheme="minorEastAsia" w:hAnsiTheme="minorEastAsia" w:cstheme="minorEastAsia" w:hint="eastAsia"/>
          <w:b/>
          <w:sz w:val="24"/>
          <w:szCs w:val="24"/>
        </w:rPr>
        <w:t>商家自行选择填报)</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2"/>
        <w:textAlignment w:val="auto"/>
        <w:outlineLvl w:val="9"/>
        <w:rPr>
          <w:rFonts w:hint="eastAsia"/>
          <w:b/>
          <w:bCs/>
          <w:color w:val="auto"/>
          <w:sz w:val="24"/>
          <w:szCs w:val="24"/>
          <w:highlight w:val="none"/>
          <w:shd w:val="clear" w:color="auto" w:fill="FFFFFF"/>
          <w:lang w:eastAsia="zh-CN"/>
        </w:rPr>
      </w:pP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482"/>
        <w:textAlignment w:val="auto"/>
        <w:rPr>
          <w:rFonts w:ascii="Times New Roman" w:hAnsi="Times New Roman" w:hint="eastAsia"/>
          <w:b w:val="0"/>
          <w:bCs/>
          <w:color w:val="auto"/>
          <w:sz w:val="24"/>
          <w:szCs w:val="24"/>
          <w:highlight w:val="none"/>
          <w:shd w:val="clear" w:color="auto" w:fill="FFFFFF"/>
          <w:lang w:val="en-US" w:eastAsia="zh-CN"/>
        </w:rPr>
      </w:pPr>
      <w:r>
        <w:rPr>
          <w:rFonts w:hint="eastAsia"/>
          <w:b/>
          <w:bCs/>
          <w:color w:val="auto"/>
          <w:sz w:val="24"/>
          <w:szCs w:val="24"/>
          <w:highlight w:val="none"/>
          <w:shd w:val="clear" w:color="auto" w:fill="FFFFFF"/>
          <w:lang w:eastAsia="zh-CN"/>
        </w:rPr>
        <w:t>提示：</w:t>
      </w:r>
      <w:r>
        <w:rPr>
          <w:rFonts w:hint="eastAsia"/>
          <w:b w:val="0"/>
          <w:bCs w:val="0"/>
          <w:color w:val="auto"/>
          <w:sz w:val="24"/>
          <w:szCs w:val="24"/>
          <w:highlight w:val="none"/>
          <w:shd w:val="clear" w:color="auto" w:fill="FFFFFF"/>
          <w:lang w:eastAsia="zh-CN"/>
        </w:rPr>
        <w:t>由于天府新机场已</w:t>
      </w:r>
      <w:r>
        <w:rPr>
          <w:rFonts w:hint="eastAsia"/>
          <w:b w:val="0"/>
          <w:bCs w:val="0"/>
          <w:color w:val="auto"/>
          <w:sz w:val="24"/>
          <w:szCs w:val="24"/>
          <w:highlight w:val="none"/>
          <w:shd w:val="clear" w:color="auto" w:fill="FFFFFF"/>
          <w:lang w:val="en-US" w:eastAsia="zh-CN"/>
        </w:rPr>
        <w:t>启用，部分航班明年3月将完成最后转场，届时可能对本场客流量造成一定影响。</w:t>
      </w:r>
      <w:r>
        <w:rPr>
          <w:rFonts w:ascii="Times New Roman" w:hAnsi="Times New Roman" w:hint="eastAsia"/>
          <w:b w:val="0"/>
          <w:bCs/>
          <w:color w:val="auto"/>
          <w:sz w:val="24"/>
          <w:szCs w:val="24"/>
          <w:highlight w:val="none"/>
          <w:shd w:val="clear" w:color="auto" w:fill="FFFFFF"/>
          <w:lang w:val="en-US" w:eastAsia="zh-CN"/>
        </w:rPr>
        <w:t>T1航站楼国内区域计划于2023年上半年择期关闭改造，届时川航将搬至D指廊、CD连廊运行，2024年下半年T1改造完成后川航将搬回至T1航站楼，故D指廊及途经的DE连廊区域</w:t>
      </w:r>
      <w:r>
        <w:rPr>
          <w:rFonts w:ascii="Times New Roman" w:eastAsia="宋体" w:hAnsi="Times New Roman" w:hint="eastAsia"/>
          <w:b w:val="0"/>
          <w:bCs/>
          <w:color w:val="auto"/>
          <w:sz w:val="24"/>
          <w:szCs w:val="24"/>
          <w:highlight w:val="none"/>
          <w:shd w:val="clear" w:color="auto" w:fill="FFFFFF"/>
          <w:lang w:val="en-US" w:eastAsia="zh-CN"/>
        </w:rPr>
        <w:t>客流量</w:t>
      </w:r>
      <w:r>
        <w:rPr>
          <w:rFonts w:ascii="Times New Roman" w:hAnsi="Times New Roman" w:hint="eastAsia"/>
          <w:b w:val="0"/>
          <w:bCs/>
          <w:color w:val="auto"/>
          <w:sz w:val="24"/>
          <w:szCs w:val="24"/>
          <w:highlight w:val="none"/>
          <w:shd w:val="clear" w:color="auto" w:fill="FFFFFF"/>
          <w:lang w:val="en-US" w:eastAsia="zh-CN"/>
        </w:rPr>
        <w:t>会相应的受到影响。</w:t>
      </w:r>
    </w:p>
    <w:p>
      <w:pPr>
        <w:pStyle w:val="NormalWeb"/>
        <w:keepNext w:val="0"/>
        <w:keepLines w:val="0"/>
        <w:pageBreakBefore w:val="0"/>
        <w:kinsoku/>
        <w:wordWrap/>
        <w:overflowPunct/>
        <w:topLinePunct w:val="0"/>
        <w:autoSpaceDE/>
        <w:autoSpaceDN/>
        <w:bidi w:val="0"/>
        <w:adjustRightInd/>
        <w:snapToGrid/>
        <w:spacing w:before="0" w:beforeAutospacing="0" w:after="0" w:afterAutospacing="0" w:line="480" w:lineRule="auto"/>
        <w:ind w:right="0" w:firstLine="480"/>
        <w:textAlignment w:val="auto"/>
        <w:outlineLvl w:val="9"/>
        <w:rPr>
          <w:rFonts w:hint="eastAsia"/>
          <w:b w:val="0"/>
          <w:bCs w:val="0"/>
          <w:color w:val="auto"/>
          <w:sz w:val="24"/>
          <w:szCs w:val="24"/>
          <w:highlight w:val="none"/>
          <w:shd w:val="clear" w:color="auto" w:fill="FFFFFF"/>
          <w:lang w:val="en-US" w:eastAsia="zh-CN"/>
        </w:rPr>
      </w:pPr>
    </w:p>
    <w:p>
      <w:pPr>
        <w:pStyle w:val="a"/>
        <w:rPr>
          <w:rFonts w:ascii="宋体" w:hAnsi="宋体" w:hint="eastAsia"/>
          <w:b w:val="0"/>
          <w:bCs w:val="0"/>
          <w:sz w:val="24"/>
          <w:szCs w:val="24"/>
          <w:lang w:eastAsia="zh-CN"/>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rPr>
      </w:pP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b/>
          <w:sz w:val="24"/>
          <w:szCs w:val="24"/>
        </w:rPr>
      </w:pPr>
      <w:r>
        <w:rPr>
          <w:rFonts w:ascii="宋体" w:hAnsi="宋体" w:hint="eastAsia"/>
          <w:b/>
          <w:sz w:val="24"/>
          <w:szCs w:val="24"/>
        </w:rPr>
        <w:t>时间：</w:t>
      </w:r>
    </w:p>
    <w:p>
      <w:pPr>
        <w:keepNext w:val="0"/>
        <w:keepLines w:val="0"/>
        <w:pageBreakBefore w:val="0"/>
        <w:kinsoku/>
        <w:wordWrap/>
        <w:overflowPunct/>
        <w:topLinePunct w:val="0"/>
        <w:autoSpaceDE/>
        <w:autoSpaceDN/>
        <w:bidi w:val="0"/>
        <w:adjustRightInd/>
        <w:snapToGrid/>
        <w:spacing w:line="480" w:lineRule="auto"/>
        <w:ind w:right="0"/>
        <w:textAlignment w:val="auto"/>
        <w:outlineLvl w:val="9"/>
        <w:rPr>
          <w:rFonts w:ascii="宋体" w:hAnsi="宋体" w:hint="eastAsia"/>
          <w:b/>
          <w:sz w:val="24"/>
          <w:szCs w:val="24"/>
          <w:lang w:eastAsia="zh-CN"/>
        </w:rPr>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a"/>
        <w:numPr>
          <w:ilvl w:val="0"/>
          <w:numId w:val="2"/>
        </w:numPr>
        <w:ind w:left="425" w:hanging="425"/>
        <w:rPr>
          <w:rFonts w:asciiTheme="minorEastAsia" w:eastAsiaTheme="minorEastAsia" w:hAnsiTheme="minorEastAsia" w:cstheme="minorEastAsia" w:hint="eastAsia"/>
          <w:b/>
          <w:bCs w:val="0"/>
          <w:color w:val="auto"/>
          <w:lang w:val="en-US" w:eastAsia="zh-CN"/>
        </w:rPr>
      </w:pPr>
      <w:bookmarkStart w:id="1" w:name="_Toc28443"/>
      <w:r>
        <w:rPr>
          <w:rFonts w:asciiTheme="minorEastAsia" w:eastAsiaTheme="minorEastAsia" w:hAnsiTheme="minorEastAsia" w:cstheme="minorEastAsia" w:hint="eastAsia"/>
          <w:b/>
          <w:bCs w:val="0"/>
          <w:color w:val="auto"/>
          <w:sz w:val="24"/>
          <w:lang w:val="en-US" w:eastAsia="zh-CN"/>
        </w:rPr>
        <w:t>投报有提成比例标段的商家填写（1）；</w:t>
      </w:r>
      <w:r>
        <w:rPr>
          <w:rFonts w:asciiTheme="minorEastAsia" w:eastAsiaTheme="minorEastAsia" w:hAnsiTheme="minorEastAsia" w:cstheme="minorEastAsia" w:hint="eastAsia"/>
          <w:b/>
          <w:bCs w:val="0"/>
          <w:color w:val="auto"/>
          <w:lang w:val="en-US" w:eastAsia="zh-CN"/>
        </w:rPr>
        <w:t>投报无提成比例标段（</w:t>
      </w:r>
      <w:r>
        <w:rPr>
          <w:rFonts w:asciiTheme="minorEastAsia" w:eastAsiaTheme="minorEastAsia" w:hAnsiTheme="minorEastAsia" w:cstheme="minorEastAsia" w:hint="eastAsia"/>
          <w:b/>
          <w:bCs w:val="0"/>
          <w:color w:val="auto"/>
          <w:sz w:val="24"/>
          <w:lang w:val="en-US" w:eastAsia="zh-CN"/>
        </w:rPr>
        <w:t>ARR-S-2、VEM-S-5D</w:t>
      </w:r>
      <w:r>
        <w:rPr>
          <w:rFonts w:asciiTheme="minorEastAsia" w:eastAsiaTheme="minorEastAsia" w:hAnsiTheme="minorEastAsia" w:cstheme="minorEastAsia" w:hint="eastAsia"/>
          <w:b/>
          <w:bCs w:val="0"/>
          <w:color w:val="auto"/>
          <w:lang w:val="en-US" w:eastAsia="zh-CN"/>
        </w:rPr>
        <w:t>）</w:t>
      </w:r>
      <w:r>
        <w:rPr>
          <w:rFonts w:asciiTheme="minorEastAsia" w:eastAsiaTheme="minorEastAsia" w:hAnsiTheme="minorEastAsia" w:cstheme="minorEastAsia" w:hint="eastAsia"/>
          <w:b/>
          <w:bCs w:val="0"/>
          <w:color w:val="auto"/>
          <w:sz w:val="24"/>
          <w:lang w:val="en-US" w:eastAsia="zh-CN"/>
        </w:rPr>
        <w:t>的商家填写（2）。</w:t>
      </w:r>
    </w:p>
    <w:p>
      <w:pPr>
        <w:pStyle w:val="NormalWeb"/>
        <w:keepNext w:val="0"/>
        <w:keepLines w:val="0"/>
        <w:pageBreakBefore w:val="0"/>
        <w:widowControl/>
        <w:numPr>
          <w:ilvl w:val="0"/>
          <w:numId w:val="2"/>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1"/>
      <w:r>
        <w:rPr>
          <w:rFonts w:ascii="仿宋" w:eastAsia="仿宋" w:hAnsi="仿宋" w:cs="仿宋" w:hint="eastAsia"/>
          <w:b w:val="0"/>
          <w:bCs w:val="0"/>
          <w:sz w:val="24"/>
          <w:szCs w:val="24"/>
          <w:lang w:val="en-US" w:eastAsia="zh-CN"/>
        </w:rPr>
        <w:t>备注：</w:t>
      </w:r>
      <w:r>
        <w:rPr>
          <w:rFonts w:ascii="仿宋" w:eastAsia="仿宋" w:hAnsi="仿宋" w:cs="仿宋" w:hint="eastAsia"/>
          <w:b w:val="0"/>
          <w:color w:val="auto"/>
          <w:kern w:val="2"/>
          <w:sz w:val="24"/>
          <w:szCs w:val="24"/>
          <w:shd w:val="clear" w:color="auto" w:fill="auto"/>
          <w:lang w:val="en-US" w:eastAsia="zh-CN"/>
        </w:rPr>
        <w:t>每月实际吞吐量以次月商贸中心通知为准</w:t>
      </w:r>
      <w:r>
        <w:rPr>
          <w:rFonts w:ascii="仿宋" w:eastAsia="仿宋" w:hAnsi="仿宋" w:cs="仿宋" w:hint="eastAsia"/>
          <w:b w:val="0"/>
          <w:bCs w:val="0"/>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假设商家报价为1000元/㎡(台）/月，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FF0000"/>
          <w:sz w:val="24"/>
          <w:szCs w:val="24"/>
          <w:lang w:val="en-US"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abstractNum w:abstractNumId="1">
    <w:nsid w:val="20BE99B4"/>
    <w:multiLevelType w:val="singleLevel"/>
    <w:tmpl w:val="20BE99B4"/>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paragraph" w:styleId="Heading2">
    <w:name w:val="heading 2"/>
    <w:basedOn w:val="Normal"/>
    <w:next w:val="Normal"/>
    <w:unhideWhenUsed/>
    <w:qFormat/>
    <w:pPr>
      <w:keepNext/>
      <w:keepLines/>
      <w:spacing w:before="0" w:beforeAutospacing="0" w:after="0" w:afterAutospacing="0" w:line="413" w:lineRule="auto"/>
      <w:outlineLvl w:val="1"/>
    </w:pPr>
    <w:rPr>
      <w:rFonts w:ascii="Arial" w:eastAsia="黑体" w:hAnsi="Arial"/>
      <w:b/>
      <w:sz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2020-08-10T07:31:00Z</cp:lastPrinted>
  <dcterms:created xsi:type="dcterms:W3CDTF">2019-01-11T08:59:00Z</dcterms:created>
  <dcterms:modified xsi:type="dcterms:W3CDTF">2022-12-22T07:14:00Z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