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ascii="宋体" w:hAnsi="宋体"/>
          <w:sz w:val="24"/>
          <w:szCs w:val="24"/>
        </w:rPr>
      </w:pPr>
      <w:r>
        <w:rPr>
          <w:rFonts w:hint="eastAsia" w:ascii="宋体" w:hAnsi="宋体"/>
          <w:sz w:val="24"/>
          <w:szCs w:val="24"/>
        </w:rPr>
        <w:t>附件2：</w:t>
      </w:r>
    </w:p>
    <w:p>
      <w:pPr>
        <w:pStyle w:val="5"/>
        <w:jc w:val="center"/>
        <w:rPr>
          <w:rFonts w:ascii="宋体" w:hAnsi="宋体"/>
          <w:sz w:val="24"/>
          <w:szCs w:val="24"/>
        </w:rPr>
      </w:pPr>
      <w:r>
        <w:rPr>
          <w:rFonts w:hint="eastAsia" w:ascii="宋体" w:hAnsi="宋体" w:cs="宋体"/>
          <w:bCs w:val="0"/>
          <w:kern w:val="0"/>
        </w:rPr>
        <w:t>报价单</w:t>
      </w:r>
    </w:p>
    <w:p>
      <w:pPr>
        <w:spacing w:line="480" w:lineRule="auto"/>
        <w:ind w:left="-4536" w:leftChars="-2160" w:firstLine="4554" w:firstLineChars="189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公司名称: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标段</w:t>
      </w:r>
      <w:r>
        <w:rPr>
          <w:rFonts w:hint="eastAsia" w:asciiTheme="minorEastAsia" w:hAnsiTheme="minorEastAsia" w:eastAsiaTheme="minorEastAsia" w:cstheme="minorEastAsia"/>
          <w:b/>
          <w:sz w:val="24"/>
          <w:szCs w:val="24"/>
        </w:rPr>
        <w:t>编号或项目名称:</w:t>
      </w:r>
      <w:r>
        <w:rPr>
          <w:rFonts w:hint="eastAsia" w:asciiTheme="minorEastAsia" w:hAnsiTheme="minorEastAsia" w:eastAsiaTheme="minorEastAsia" w:cstheme="minorEastAsia"/>
          <w:b/>
          <w:sz w:val="24"/>
          <w:szCs w:val="24"/>
          <w:u w:val="single"/>
          <w:lang w:val="en-US" w:eastAsia="zh-CN"/>
        </w:rPr>
        <w:t xml:space="preserve">                          </w:t>
      </w:r>
    </w:p>
    <w:p>
      <w:pPr>
        <w:numPr>
          <w:ilvl w:val="0"/>
          <w:numId w:val="0"/>
        </w:numPr>
        <w:spacing w:line="48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FF"/>
          <w:sz w:val="24"/>
          <w:szCs w:val="24"/>
          <w:shd w:val="clear" w:color="auto" w:fill="FFFFFF"/>
          <w:lang w:eastAsia="zh-CN"/>
        </w:rPr>
        <w:t>（商家请认真填写申报的标段号，错报标段号视为报名无效，不予评分。</w:t>
      </w:r>
      <w:r>
        <w:rPr>
          <w:rFonts w:hint="eastAsia" w:asciiTheme="minorEastAsia" w:hAnsiTheme="minorEastAsia" w:eastAsiaTheme="minorEastAsia" w:cstheme="minorEastAsia"/>
          <w:b/>
          <w:color w:val="0000FF"/>
          <w:sz w:val="24"/>
          <w:szCs w:val="24"/>
          <w:shd w:val="clear" w:color="auto" w:fill="FFFFFF"/>
          <w:lang w:val="en-US" w:eastAsia="zh-CN"/>
        </w:rPr>
        <w:t>)</w:t>
      </w:r>
    </w:p>
    <w:p>
      <w:pPr>
        <w:numPr>
          <w:ilvl w:val="0"/>
          <w:numId w:val="1"/>
        </w:numPr>
        <w:spacing w:line="480" w:lineRule="auto"/>
        <w:ind w:left="0" w:leftChars="0" w:firstLine="42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报价：</w:t>
      </w:r>
    </w:p>
    <w:p>
      <w:pPr>
        <w:numPr>
          <w:ilvl w:val="0"/>
          <w:numId w:val="0"/>
        </w:numPr>
        <w:spacing w:line="480" w:lineRule="auto"/>
        <w:ind w:firstLine="964" w:firstLineChars="400"/>
        <w:rPr>
          <w:rFonts w:hint="eastAsia" w:asciiTheme="minorEastAsia" w:hAnsiTheme="minorEastAsia" w:eastAsiaTheme="minorEastAsia" w:cstheme="minorEastAsia"/>
          <w:b/>
          <w:sz w:val="24"/>
          <w:szCs w:val="24"/>
          <w:u w:val="single"/>
          <w:lang w:eastAsia="zh-CN"/>
        </w:rPr>
      </w:pPr>
      <w:r>
        <w:rPr>
          <w:rFonts w:hint="eastAsia" w:asciiTheme="minorEastAsia" w:hAnsiTheme="minorEastAsia" w:eastAsiaTheme="minorEastAsia" w:cstheme="minorEastAsia"/>
          <w:b/>
          <w:sz w:val="24"/>
          <w:szCs w:val="24"/>
        </w:rPr>
        <w:t>保底</w:t>
      </w:r>
      <w:r>
        <w:rPr>
          <w:rFonts w:hint="eastAsia" w:asciiTheme="minorEastAsia" w:hAnsiTheme="minorEastAsia" w:eastAsiaTheme="minorEastAsia" w:cstheme="minorEastAsia"/>
          <w:b/>
          <w:sz w:val="24"/>
          <w:szCs w:val="24"/>
          <w:lang w:eastAsia="zh-CN"/>
        </w:rPr>
        <w:t>经营费用￥</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rPr>
        <w:t>元/平米/月，销售额提成率</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eastAsia="zh-CN"/>
        </w:rPr>
        <w:t>。</w:t>
      </w:r>
    </w:p>
    <w:p>
      <w:pPr>
        <w:spacing w:line="360" w:lineRule="auto"/>
        <w:rPr>
          <w:rFonts w:hint="eastAsia" w:asciiTheme="minorEastAsia" w:hAnsiTheme="minorEastAsia" w:eastAsiaTheme="minorEastAsia" w:cstheme="minorEastAsia"/>
          <w:b/>
          <w:sz w:val="24"/>
          <w:szCs w:val="24"/>
        </w:rPr>
      </w:pPr>
    </w:p>
    <w:p>
      <w:pPr>
        <w:spacing w:line="360" w:lineRule="auto"/>
        <w:ind w:firstLine="482" w:firstLineChars="200"/>
        <w:rPr>
          <w:rFonts w:hint="eastAsia" w:ascii="宋体" w:hAnsi="宋体"/>
          <w:b/>
          <w:sz w:val="24"/>
          <w:szCs w:val="24"/>
        </w:rPr>
      </w:pP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经营期限:</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rPr>
        <w:t>年</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w:t>
      </w:r>
      <w:r>
        <w:rPr>
          <w:rFonts w:hint="eastAsia" w:ascii="宋体" w:hAnsi="宋体"/>
          <w:b/>
          <w:color w:val="auto"/>
          <w:sz w:val="24"/>
          <w:szCs w:val="24"/>
          <w:lang w:val="en-US" w:eastAsia="zh-CN"/>
        </w:rPr>
        <w:t>1-3年，</w:t>
      </w:r>
      <w:r>
        <w:rPr>
          <w:rFonts w:hint="eastAsia" w:ascii="宋体" w:hAnsi="宋体"/>
          <w:b/>
          <w:sz w:val="24"/>
          <w:szCs w:val="24"/>
        </w:rPr>
        <w:t>商家可</w:t>
      </w:r>
      <w:r>
        <w:rPr>
          <w:rFonts w:hint="eastAsia" w:ascii="宋体" w:hAnsi="宋体"/>
          <w:b/>
          <w:sz w:val="24"/>
          <w:szCs w:val="24"/>
          <w:lang w:eastAsia="zh-CN"/>
        </w:rPr>
        <w:t>自行选择填报</w:t>
      </w:r>
      <w:r>
        <w:rPr>
          <w:rFonts w:hint="eastAsia" w:ascii="宋体" w:hAnsi="宋体"/>
          <w:b/>
          <w:sz w:val="24"/>
          <w:szCs w:val="24"/>
        </w:rPr>
        <w:t>)</w:t>
      </w:r>
    </w:p>
    <w:p>
      <w:pPr>
        <w:pStyle w:val="2"/>
        <w:rPr>
          <w:rFonts w:hint="eastAsia"/>
          <w:lang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ind w:right="0" w:rightChars="0" w:firstLine="482" w:firstLineChars="200"/>
        <w:textAlignment w:val="auto"/>
        <w:outlineLvl w:val="9"/>
        <w:rPr>
          <w:rFonts w:hint="eastAsia"/>
          <w:b/>
          <w:bCs/>
          <w:color w:val="auto"/>
          <w:highlight w:val="none"/>
          <w:shd w:val="clear" w:color="auto" w:fill="FFFFFF"/>
          <w:lang w:val="en-US" w:eastAsia="zh-CN"/>
        </w:rPr>
      </w:pPr>
      <w:r>
        <w:rPr>
          <w:rFonts w:hint="eastAsia"/>
          <w:b/>
          <w:bCs/>
          <w:color w:val="auto"/>
          <w:sz w:val="24"/>
          <w:szCs w:val="24"/>
          <w:highlight w:val="none"/>
          <w:shd w:val="clear" w:color="auto" w:fill="FFFFFF"/>
          <w:lang w:eastAsia="zh-CN"/>
        </w:rPr>
        <w:t>提示：</w:t>
      </w:r>
      <w:r>
        <w:rPr>
          <w:rFonts w:hint="eastAsia"/>
          <w:b/>
          <w:bCs/>
          <w:color w:val="auto"/>
          <w:highlight w:val="none"/>
          <w:shd w:val="clear" w:color="auto" w:fill="FFFFFF"/>
          <w:lang w:eastAsia="zh-CN"/>
        </w:rPr>
        <w:t>由于天府新机场已</w:t>
      </w:r>
      <w:r>
        <w:rPr>
          <w:rFonts w:hint="eastAsia"/>
          <w:b/>
          <w:bCs/>
          <w:color w:val="auto"/>
          <w:highlight w:val="none"/>
          <w:shd w:val="clear" w:color="auto" w:fill="FFFFFF"/>
          <w:lang w:val="en-US" w:eastAsia="zh-CN"/>
        </w:rPr>
        <w:t>启用，进出港航班逐步转场，届时可能对本场客流量造成一定影响。</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ind w:right="0" w:rightChars="0" w:firstLine="480" w:firstLineChars="200"/>
        <w:textAlignment w:val="auto"/>
        <w:outlineLvl w:val="9"/>
        <w:rPr>
          <w:rFonts w:hint="eastAsia"/>
          <w:b w:val="0"/>
          <w:bCs w:val="0"/>
          <w:color w:val="auto"/>
          <w:sz w:val="24"/>
          <w:szCs w:val="24"/>
          <w:highlight w:val="none"/>
          <w:shd w:val="clear" w:color="auto" w:fill="FFFFFF"/>
          <w:lang w:val="en-US" w:eastAsia="zh-CN"/>
        </w:rPr>
      </w:pPr>
    </w:p>
    <w:p>
      <w:pPr>
        <w:pStyle w:val="2"/>
        <w:rPr>
          <w:rFonts w:hint="eastAsia" w:ascii="宋体" w:hAnsi="宋体"/>
          <w:b w:val="0"/>
          <w:bCs w:val="0"/>
          <w:sz w:val="24"/>
          <w:szCs w:val="24"/>
          <w:lang w:eastAsia="zh-CN"/>
        </w:rPr>
      </w:pPr>
    </w:p>
    <w:p>
      <w:pPr>
        <w:pStyle w:val="2"/>
        <w:rPr>
          <w:rFonts w:hint="eastAsia" w:ascii="宋体" w:hAnsi="宋体"/>
          <w:b w:val="0"/>
          <w:bCs w:val="0"/>
          <w:sz w:val="24"/>
          <w:szCs w:val="24"/>
          <w:lang w:eastAsia="zh-CN"/>
        </w:rPr>
      </w:pPr>
    </w:p>
    <w:p>
      <w:pPr>
        <w:pStyle w:val="2"/>
        <w:rPr>
          <w:rFonts w:hint="eastAsia" w:ascii="宋体" w:hAnsi="宋体"/>
          <w:b w:val="0"/>
          <w:bCs w:val="0"/>
          <w:sz w:val="24"/>
          <w:szCs w:val="24"/>
          <w:lang w:eastAsia="zh-CN"/>
        </w:rPr>
      </w:pPr>
    </w:p>
    <w:p>
      <w:pPr>
        <w:pStyle w:val="2"/>
        <w:rPr>
          <w:rFonts w:hint="eastAsia" w:ascii="宋体" w:hAnsi="宋体"/>
          <w:b/>
          <w:sz w:val="22"/>
          <w:szCs w:val="22"/>
          <w:lang w:eastAsia="zh-CN"/>
        </w:rPr>
      </w:pPr>
    </w:p>
    <w:p>
      <w:pPr>
        <w:keepNext w:val="0"/>
        <w:keepLines w:val="0"/>
        <w:pageBreakBefore w:val="0"/>
        <w:kinsoku/>
        <w:wordWrap/>
        <w:overflowPunct/>
        <w:topLinePunct w:val="0"/>
        <w:autoSpaceDE/>
        <w:autoSpaceDN/>
        <w:bidi w:val="0"/>
        <w:adjustRightInd/>
        <w:snapToGrid/>
        <w:spacing w:line="480" w:lineRule="auto"/>
        <w:ind w:right="0" w:rightChars="0"/>
        <w:textAlignment w:val="auto"/>
        <w:outlineLvl w:val="9"/>
        <w:rPr>
          <w:rFonts w:ascii="宋体" w:hAnsi="宋体"/>
          <w:b/>
          <w:sz w:val="24"/>
          <w:szCs w:val="24"/>
        </w:rPr>
      </w:pPr>
      <w:r>
        <w:rPr>
          <w:rFonts w:hint="eastAsia" w:ascii="宋体" w:hAnsi="宋体"/>
          <w:b/>
          <w:sz w:val="24"/>
          <w:szCs w:val="24"/>
        </w:rPr>
        <w:t xml:space="preserve">报价人签名（公司盖章）： </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snapToGrid/>
        <w:spacing w:line="480" w:lineRule="auto"/>
        <w:ind w:right="0" w:rightChars="0"/>
        <w:textAlignment w:val="auto"/>
        <w:outlineLvl w:val="9"/>
        <w:rPr>
          <w:rFonts w:ascii="宋体" w:hAnsi="宋体"/>
          <w:b/>
          <w:sz w:val="24"/>
          <w:szCs w:val="24"/>
        </w:rPr>
      </w:pPr>
      <w:r>
        <w:rPr>
          <w:rFonts w:hint="eastAsia" w:ascii="宋体" w:hAnsi="宋体"/>
          <w:b/>
          <w:sz w:val="24"/>
          <w:szCs w:val="24"/>
        </w:rPr>
        <w:t>时间：</w:t>
      </w:r>
    </w:p>
    <w:p>
      <w:pPr>
        <w:keepNext w:val="0"/>
        <w:keepLines w:val="0"/>
        <w:pageBreakBefore w:val="0"/>
        <w:kinsoku/>
        <w:wordWrap/>
        <w:overflowPunct/>
        <w:topLinePunct w:val="0"/>
        <w:autoSpaceDE/>
        <w:autoSpaceDN/>
        <w:bidi w:val="0"/>
        <w:adjustRightInd/>
        <w:snapToGrid/>
        <w:spacing w:line="480" w:lineRule="auto"/>
        <w:ind w:right="0" w:rightChars="0"/>
        <w:textAlignment w:val="auto"/>
        <w:outlineLvl w:val="9"/>
        <w:rPr>
          <w:rFonts w:hint="eastAsia" w:ascii="宋体" w:hAnsi="宋体"/>
          <w:b/>
          <w:sz w:val="24"/>
          <w:szCs w:val="24"/>
        </w:rPr>
      </w:pPr>
      <w:r>
        <w:rPr>
          <w:rFonts w:hint="eastAsia" w:ascii="宋体" w:hAnsi="宋体"/>
          <w:b/>
          <w:sz w:val="24"/>
          <w:szCs w:val="24"/>
        </w:rPr>
        <w:t>本报价单为一次性最终报价，商家无二次报价机会，机场据此报价单进行评分。</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bookmarkStart w:id="1" w:name="_GoBack"/>
      <w:bookmarkEnd w:id="1"/>
    </w:p>
    <w:p>
      <w:pPr>
        <w:pStyle w:val="2"/>
        <w:rPr>
          <w:rFonts w:hint="eastAsia" w:eastAsia="宋体"/>
          <w:lang w:val="en-US" w:eastAsia="zh-CN"/>
        </w:rPr>
      </w:pPr>
      <w:r>
        <w:rPr>
          <w:rFonts w:hint="eastAsia" w:ascii="宋体" w:hAnsi="宋体"/>
          <w:b/>
          <w:sz w:val="24"/>
          <w:szCs w:val="24"/>
          <w:lang w:eastAsia="zh-CN"/>
        </w:rPr>
        <w:t>注：</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textAlignment w:val="auto"/>
        <w:rPr>
          <w:rFonts w:hint="default" w:ascii="Times New Roman" w:hAnsi="Times New Roman" w:eastAsia="宋体"/>
          <w:b w:val="0"/>
          <w:bCs/>
          <w:color w:val="auto"/>
          <w:sz w:val="24"/>
          <w:szCs w:val="24"/>
          <w:lang w:val="en-US" w:eastAsia="zh-CN"/>
        </w:rPr>
      </w:pPr>
      <w:bookmarkStart w:id="0" w:name="_Toc28443"/>
      <w:r>
        <w:rPr>
          <w:rFonts w:hint="eastAsia" w:ascii="Times New Roman" w:hAnsi="Times New Roman" w:eastAsia="宋体" w:cs="宋体"/>
          <w:b/>
          <w:bCs w:val="0"/>
          <w:sz w:val="24"/>
          <w:szCs w:val="24"/>
          <w:lang w:val="en-US" w:eastAsia="zh-CN"/>
        </w:rPr>
        <w:t>保底租金报价方式及联动机制</w:t>
      </w:r>
      <w:r>
        <w:rPr>
          <w:rFonts w:hint="eastAsia" w:ascii="Times New Roman" w:hAnsi="Times New Roman" w:eastAsia="宋体" w:cs="宋体"/>
          <w:b w:val="0"/>
          <w:bCs/>
          <w:sz w:val="24"/>
          <w:szCs w:val="24"/>
          <w:lang w:val="en-US" w:eastAsia="zh-CN"/>
        </w:rPr>
        <w:t>：</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0" w:firstLineChars="200"/>
        <w:textAlignment w:val="auto"/>
        <w:rPr>
          <w:rFonts w:hint="default" w:ascii="Times New Roman" w:hAnsi="Times New Roman" w:eastAsia="宋体"/>
          <w:b w:val="0"/>
          <w:bCs/>
          <w:color w:val="auto"/>
          <w:sz w:val="24"/>
          <w:szCs w:val="24"/>
          <w:lang w:val="en-US" w:eastAsia="zh-CN"/>
        </w:rPr>
      </w:pPr>
      <w:r>
        <w:rPr>
          <w:rFonts w:ascii="宋体" w:hAnsi="宋体" w:eastAsia="宋体" w:cs="宋体"/>
          <w:b w:val="0"/>
          <w:bCs/>
          <w:color w:val="auto"/>
          <w:sz w:val="24"/>
          <w:szCs w:val="24"/>
        </w:rPr>
        <w:t>报名商家以国内月均吞吐量231.7万人次/月为标准进行</w:t>
      </w:r>
      <w:r>
        <w:rPr>
          <w:rFonts w:hint="eastAsia" w:cs="宋体"/>
          <w:b w:val="0"/>
          <w:bCs/>
          <w:color w:val="auto"/>
          <w:sz w:val="24"/>
          <w:szCs w:val="24"/>
          <w:lang w:eastAsia="zh-CN"/>
        </w:rPr>
        <w:t>保底经营费用</w:t>
      </w:r>
      <w:r>
        <w:rPr>
          <w:rFonts w:ascii="宋体" w:hAnsi="宋体" w:eastAsia="宋体" w:cs="宋体"/>
          <w:b w:val="0"/>
          <w:bCs/>
          <w:color w:val="auto"/>
          <w:sz w:val="24"/>
          <w:szCs w:val="24"/>
        </w:rPr>
        <w:t>报价，合同期内各月保底</w:t>
      </w:r>
      <w:r>
        <w:rPr>
          <w:rFonts w:hint="eastAsia" w:cs="宋体"/>
          <w:b w:val="0"/>
          <w:bCs/>
          <w:color w:val="auto"/>
          <w:sz w:val="24"/>
          <w:szCs w:val="24"/>
          <w:lang w:eastAsia="zh-CN"/>
        </w:rPr>
        <w:t>经营费用</w:t>
      </w:r>
      <w:r>
        <w:rPr>
          <w:rFonts w:ascii="宋体" w:hAnsi="宋体" w:eastAsia="宋体" w:cs="宋体"/>
          <w:b w:val="0"/>
          <w:bCs/>
          <w:color w:val="auto"/>
          <w:sz w:val="24"/>
          <w:szCs w:val="24"/>
        </w:rPr>
        <w:t>按照当月吞吐量与231.7万人次之间的差异进行相应程度联动。</w:t>
      </w:r>
      <w:r>
        <w:rPr>
          <w:rFonts w:hint="eastAsia" w:ascii="Times New Roman" w:hAnsi="Times New Roman"/>
          <w:b w:val="0"/>
          <w:bCs/>
          <w:color w:val="auto"/>
          <w:sz w:val="24"/>
          <w:szCs w:val="24"/>
          <w:lang w:val="en-US" w:eastAsia="zh-CN"/>
        </w:rPr>
        <w:t xml:space="preserve">  </w:t>
      </w:r>
    </w:p>
    <w:tbl>
      <w:tblPr>
        <w:tblStyle w:val="6"/>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CellMar>
            <w:top w:w="0" w:type="dxa"/>
            <w:left w:w="0" w:type="dxa"/>
            <w:bottom w:w="0" w:type="dxa"/>
            <w:right w:w="0" w:type="dxa"/>
          </w:tblCellMar>
        </w:tblPrEx>
        <w:trPr>
          <w:trHeight w:val="397" w:hRule="atLeast"/>
        </w:trPr>
        <w:tc>
          <w:tcPr>
            <w:tcW w:w="2433" w:type="dxa"/>
            <w:tcBorders>
              <w:top w:val="single" w:color="000000" w:sz="4" w:space="0"/>
              <w:left w:val="single" w:color="000000" w:sz="4" w:space="0"/>
              <w:bottom w:val="single" w:color="000000" w:sz="4" w:space="0"/>
              <w:right w:val="single" w:color="000000" w:sz="4" w:space="0"/>
            </w:tcBorders>
            <w:shd w:val="clear" w:color="auto" w:fill="D7D7D7"/>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吞吐量较231.7万人次/月变动</w:t>
            </w:r>
            <w:r>
              <w:rPr>
                <w:rFonts w:hint="eastAsia" w:ascii="宋体" w:hAnsi="宋体" w:eastAsia="宋体" w:cs="宋体"/>
                <w:b w:val="0"/>
                <w:bCs w:val="0"/>
                <w:i w:val="0"/>
                <w:color w:val="000000"/>
                <w:kern w:val="0"/>
                <w:sz w:val="20"/>
                <w:szCs w:val="20"/>
                <w:u w:val="none"/>
                <w:lang w:val="en-US" w:eastAsia="zh-CN" w:bidi="ar"/>
              </w:rPr>
              <w:t>（X）</w:t>
            </w:r>
          </w:p>
        </w:tc>
        <w:tc>
          <w:tcPr>
            <w:tcW w:w="1382" w:type="dxa"/>
            <w:tcBorders>
              <w:top w:val="single" w:color="000000" w:sz="4" w:space="0"/>
              <w:left w:val="single" w:color="000000" w:sz="4" w:space="0"/>
              <w:bottom w:val="single" w:color="000000" w:sz="4" w:space="0"/>
              <w:right w:val="single" w:color="000000" w:sz="4" w:space="0"/>
            </w:tcBorders>
            <w:shd w:val="clear" w:color="auto" w:fill="D7D7D7"/>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用联动比例</w:t>
            </w:r>
          </w:p>
        </w:tc>
        <w:tc>
          <w:tcPr>
            <w:tcW w:w="4650" w:type="dxa"/>
            <w:tcBorders>
              <w:top w:val="single" w:color="000000" w:sz="4" w:space="0"/>
              <w:left w:val="single" w:color="000000" w:sz="4" w:space="0"/>
              <w:bottom w:val="single" w:color="000000" w:sz="4" w:space="0"/>
              <w:right w:val="single" w:color="000000" w:sz="4" w:space="0"/>
            </w:tcBorders>
            <w:shd w:val="clear" w:color="auto" w:fill="D7D7D7"/>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调整公式</w:t>
            </w:r>
          </w:p>
        </w:tc>
      </w:tr>
      <w:tr>
        <w:tblPrEx>
          <w:tblCellMar>
            <w:top w:w="0" w:type="dxa"/>
            <w:left w:w="0" w:type="dxa"/>
            <w:bottom w:w="0" w:type="dxa"/>
            <w:right w:w="0" w:type="dxa"/>
          </w:tblCellMar>
        </w:tblPrEx>
        <w:trPr>
          <w:trHeight w:val="594" w:hRule="atLeast"/>
        </w:trPr>
        <w:tc>
          <w:tcPr>
            <w:tcW w:w="2433"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X≥0%</w:t>
            </w:r>
          </w:p>
        </w:tc>
        <w:tc>
          <w:tcPr>
            <w:tcW w:w="1382" w:type="dxa"/>
            <w:vMerge w:val="restart"/>
            <w:tcBorders>
              <w:top w:val="single" w:color="000000" w:sz="4" w:space="0"/>
              <w:left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650" w:type="dxa"/>
            <w:vMerge w:val="restart"/>
            <w:tcBorders>
              <w:top w:val="single" w:color="000000" w:sz="4" w:space="0"/>
              <w:left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1"/>
                <w:szCs w:val="21"/>
                <w:highlight w:val="none"/>
              </w:rPr>
              <w:t>当月实际保底经营费用=月保底经营费用单价*实测面积*[1+（当月</w:t>
            </w:r>
            <w:r>
              <w:rPr>
                <w:rFonts w:hint="eastAsia" w:ascii="宋体" w:hAnsi="宋体" w:eastAsia="宋体" w:cs="宋体"/>
                <w:sz w:val="21"/>
                <w:szCs w:val="21"/>
                <w:highlight w:val="none"/>
                <w:lang w:val="en-US" w:eastAsia="zh-CN"/>
              </w:rPr>
              <w:t>国内</w:t>
            </w:r>
            <w:r>
              <w:rPr>
                <w:rFonts w:hint="eastAsia" w:ascii="宋体" w:hAnsi="宋体" w:eastAsia="宋体" w:cs="宋体"/>
                <w:sz w:val="21"/>
                <w:szCs w:val="21"/>
                <w:highlight w:val="none"/>
              </w:rPr>
              <w:t>实际旅客吞吐量-</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 *50%]。</w:t>
            </w:r>
          </w:p>
        </w:tc>
      </w:tr>
      <w:tr>
        <w:tblPrEx>
          <w:tblCellMar>
            <w:top w:w="0" w:type="dxa"/>
            <w:left w:w="0" w:type="dxa"/>
            <w:bottom w:w="0" w:type="dxa"/>
            <w:right w:w="0" w:type="dxa"/>
          </w:tblCellMar>
        </w:tblPrEx>
        <w:trPr>
          <w:trHeight w:val="697" w:hRule="atLeast"/>
        </w:trPr>
        <w:tc>
          <w:tcPr>
            <w:tcW w:w="2433"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r>
              <w:rPr>
                <w:rFonts w:hint="eastAsia" w:ascii="宋体" w:hAnsi="宋体" w:eastAsia="宋体" w:cs="宋体"/>
                <w:i w:val="0"/>
                <w:color w:val="000000"/>
                <w:sz w:val="20"/>
                <w:szCs w:val="20"/>
                <w:u w:val="none"/>
                <w:lang w:val="en-US" w:eastAsia="zh-CN"/>
              </w:rPr>
              <w:t xml:space="preserve">0% </w:t>
            </w:r>
            <w:r>
              <w:rPr>
                <w:rFonts w:hint="eastAsia" w:ascii="宋体" w:hAnsi="宋体" w:cs="宋体"/>
                <w:i w:val="0"/>
                <w:color w:val="000000"/>
                <w:sz w:val="20"/>
                <w:szCs w:val="20"/>
                <w:u w:val="none"/>
                <w:lang w:val="en-US" w:eastAsia="zh-CN"/>
              </w:rPr>
              <w:t>＜</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sz w:val="20"/>
                <w:szCs w:val="20"/>
                <w:u w:val="none"/>
                <w:lang w:val="en-US" w:eastAsia="zh-CN"/>
              </w:rPr>
              <w:t xml:space="preserve">X </w:t>
            </w:r>
            <w:r>
              <w:rPr>
                <w:rFonts w:hint="eastAsia" w:ascii="宋体" w:hAnsi="宋体" w:cs="宋体"/>
                <w:i w:val="0"/>
                <w:color w:val="000000"/>
                <w:sz w:val="20"/>
                <w:szCs w:val="20"/>
                <w:u w:val="none"/>
                <w:lang w:val="en-US" w:eastAsia="zh-CN"/>
              </w:rPr>
              <w:t>＜</w:t>
            </w:r>
            <w:r>
              <w:rPr>
                <w:rFonts w:hint="eastAsia" w:ascii="宋体" w:hAnsi="宋体" w:eastAsia="宋体" w:cs="宋体"/>
                <w:i w:val="0"/>
                <w:color w:val="000000"/>
                <w:sz w:val="20"/>
                <w:szCs w:val="20"/>
                <w:u w:val="none"/>
                <w:lang w:val="en-US" w:eastAsia="zh-CN"/>
              </w:rPr>
              <w:t xml:space="preserve"> 0%</w:t>
            </w:r>
          </w:p>
        </w:tc>
        <w:tc>
          <w:tcPr>
            <w:tcW w:w="1382" w:type="dxa"/>
            <w:vMerge w:val="continue"/>
            <w:tcBorders>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p>
        </w:tc>
        <w:tc>
          <w:tcPr>
            <w:tcW w:w="4650" w:type="dxa"/>
            <w:vMerge w:val="continue"/>
            <w:tcBorders>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1147" w:hRule="atLeast"/>
        </w:trPr>
        <w:tc>
          <w:tcPr>
            <w:tcW w:w="2433"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X≤</w:t>
            </w:r>
            <w:r>
              <w:rPr>
                <w:rFonts w:hint="eastAsia" w:ascii="宋体" w:hAnsi="宋体" w:eastAsia="宋体" w:cs="宋体"/>
                <w:i w:val="0"/>
                <w:color w:val="000000"/>
                <w:kern w:val="0"/>
                <w:sz w:val="20"/>
                <w:szCs w:val="20"/>
                <w:u w:val="none"/>
                <w:lang w:val="en-US" w:eastAsia="zh-CN" w:bidi="ar"/>
              </w:rPr>
              <w:t xml:space="preserve">-20% </w:t>
            </w: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4650"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sz w:val="21"/>
                <w:szCs w:val="21"/>
                <w:highlight w:val="none"/>
              </w:rPr>
              <w:t>当月实际保底经营费用=月保底经营费用单价*实测面积*[1+（当月</w:t>
            </w:r>
            <w:r>
              <w:rPr>
                <w:rFonts w:hint="eastAsia" w:ascii="宋体" w:hAnsi="宋体" w:eastAsia="宋体" w:cs="宋体"/>
                <w:sz w:val="21"/>
                <w:szCs w:val="21"/>
                <w:highlight w:val="none"/>
                <w:lang w:val="en-US" w:eastAsia="zh-CN"/>
              </w:rPr>
              <w:t>国内</w:t>
            </w:r>
            <w:r>
              <w:rPr>
                <w:rFonts w:hint="eastAsia" w:ascii="宋体" w:hAnsi="宋体" w:eastAsia="宋体" w:cs="宋体"/>
                <w:sz w:val="21"/>
                <w:szCs w:val="21"/>
                <w:highlight w:val="none"/>
              </w:rPr>
              <w:t>实际旅客吞吐量-</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 ]。</w:t>
            </w:r>
          </w:p>
        </w:tc>
      </w:tr>
      <w:bookmarkEnd w:id="0"/>
    </w:tbl>
    <w:p>
      <w:pPr>
        <w:numPr>
          <w:ilvl w:val="0"/>
          <w:numId w:val="0"/>
        </w:numPr>
        <w:jc w:val="both"/>
        <w:rPr>
          <w:rFonts w:hint="eastAsia"/>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val="0"/>
          <w:color w:val="auto"/>
          <w:kern w:val="2"/>
          <w:sz w:val="24"/>
          <w:szCs w:val="24"/>
          <w:shd w:val="clear" w:color="auto" w:fill="auto"/>
          <w:lang w:val="en-US" w:eastAsia="zh-CN"/>
        </w:rPr>
        <w:t>每月实际吞吐量以次月商贸中心通知为准</w:t>
      </w:r>
      <w:r>
        <w:rPr>
          <w:rFonts w:hint="eastAsia" w:ascii="仿宋" w:hAnsi="仿宋" w:eastAsia="仿宋" w:cs="仿宋"/>
          <w:b w:val="0"/>
          <w:bCs w:val="0"/>
          <w:sz w:val="24"/>
          <w:szCs w:val="24"/>
          <w:lang w:val="en-US" w:eastAsia="zh-CN"/>
        </w:rPr>
        <w:t>。</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示例：</w:t>
      </w:r>
      <w:r>
        <w:rPr>
          <w:rFonts w:hint="eastAsia" w:cs="宋体"/>
          <w:b/>
          <w:bCs w:val="0"/>
          <w:color w:val="auto"/>
          <w:sz w:val="24"/>
          <w:szCs w:val="24"/>
          <w:lang w:val="en-US" w:eastAsia="zh-CN"/>
        </w:rPr>
        <w:t>假设商家报价为1000元/㎡/月，</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eastAsia" w:cs="宋体"/>
          <w:b/>
          <w:bCs w:val="0"/>
          <w:color w:val="auto"/>
          <w:sz w:val="24"/>
          <w:szCs w:val="24"/>
          <w:lang w:val="en-US" w:eastAsia="zh-CN"/>
        </w:rPr>
      </w:pPr>
      <w:r>
        <w:rPr>
          <w:rFonts w:hint="eastAsia" w:cs="宋体"/>
          <w:b/>
          <w:bCs w:val="0"/>
          <w:color w:val="auto"/>
          <w:sz w:val="24"/>
          <w:szCs w:val="24"/>
          <w:lang w:val="en-US" w:eastAsia="zh-CN"/>
        </w:rPr>
        <w:t>若当月T2候机楼实际吞吐量为380万人次，则商家需支付的实际保底租金单价为：1000*[1+（380-231.7）/231.7 *50%]=1320.03元。</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eastAsia" w:cs="宋体"/>
          <w:b/>
          <w:bCs w:val="0"/>
          <w:color w:val="auto"/>
          <w:sz w:val="24"/>
          <w:szCs w:val="24"/>
          <w:lang w:val="en-US" w:eastAsia="zh-CN"/>
        </w:rPr>
      </w:pPr>
      <w:r>
        <w:rPr>
          <w:rFonts w:hint="eastAsia" w:cs="宋体"/>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leftChars="0" w:firstLine="549" w:firstLineChars="228"/>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eastAsia" w:cs="宋体"/>
          <w:b/>
          <w:bCs w:val="0"/>
          <w:color w:val="FF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99B4"/>
    <w:multiLevelType w:val="singleLevel"/>
    <w:tmpl w:val="20BE99B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47EF1"/>
    <w:rsid w:val="01CF5430"/>
    <w:rsid w:val="03094769"/>
    <w:rsid w:val="033C3ACB"/>
    <w:rsid w:val="045B03AA"/>
    <w:rsid w:val="07B95B28"/>
    <w:rsid w:val="09902DCF"/>
    <w:rsid w:val="0A7655DD"/>
    <w:rsid w:val="0B8943A7"/>
    <w:rsid w:val="0D8D00F9"/>
    <w:rsid w:val="0EBA6037"/>
    <w:rsid w:val="0F3664EE"/>
    <w:rsid w:val="0FA5205C"/>
    <w:rsid w:val="0FF71413"/>
    <w:rsid w:val="0FFF041C"/>
    <w:rsid w:val="132B1B8F"/>
    <w:rsid w:val="155E121B"/>
    <w:rsid w:val="1B2E7EFB"/>
    <w:rsid w:val="1C182996"/>
    <w:rsid w:val="1D2C21AC"/>
    <w:rsid w:val="2293222F"/>
    <w:rsid w:val="29B2071A"/>
    <w:rsid w:val="2AAB358A"/>
    <w:rsid w:val="2DA05F19"/>
    <w:rsid w:val="2E543D23"/>
    <w:rsid w:val="2F4313CC"/>
    <w:rsid w:val="3179352E"/>
    <w:rsid w:val="32CD7C39"/>
    <w:rsid w:val="34284678"/>
    <w:rsid w:val="361F7B19"/>
    <w:rsid w:val="3674680B"/>
    <w:rsid w:val="3B960554"/>
    <w:rsid w:val="3C4D37D2"/>
    <w:rsid w:val="3D5D2A7B"/>
    <w:rsid w:val="3F0F0E7B"/>
    <w:rsid w:val="41A64B30"/>
    <w:rsid w:val="43550F63"/>
    <w:rsid w:val="43A64D03"/>
    <w:rsid w:val="45700500"/>
    <w:rsid w:val="460A3DA0"/>
    <w:rsid w:val="46F47EF1"/>
    <w:rsid w:val="48FE379E"/>
    <w:rsid w:val="4A745FEC"/>
    <w:rsid w:val="4E661D46"/>
    <w:rsid w:val="50AE1FF1"/>
    <w:rsid w:val="52CF1BC4"/>
    <w:rsid w:val="55267F0D"/>
    <w:rsid w:val="554159B3"/>
    <w:rsid w:val="58693506"/>
    <w:rsid w:val="5AB42C0A"/>
    <w:rsid w:val="5E095DF0"/>
    <w:rsid w:val="5E741198"/>
    <w:rsid w:val="5EF004CE"/>
    <w:rsid w:val="60F566FA"/>
    <w:rsid w:val="61516345"/>
    <w:rsid w:val="626B4A60"/>
    <w:rsid w:val="64125369"/>
    <w:rsid w:val="641828D8"/>
    <w:rsid w:val="650A3A1E"/>
    <w:rsid w:val="65B75623"/>
    <w:rsid w:val="66D76C06"/>
    <w:rsid w:val="68DD7C80"/>
    <w:rsid w:val="68FD03AF"/>
    <w:rsid w:val="6C4D7D6C"/>
    <w:rsid w:val="6F6A1F3F"/>
    <w:rsid w:val="70E21D03"/>
    <w:rsid w:val="75195020"/>
    <w:rsid w:val="75A4069B"/>
    <w:rsid w:val="77E24BB3"/>
    <w:rsid w:val="7B9F14D3"/>
    <w:rsid w:val="7D735836"/>
    <w:rsid w:val="7E9520A7"/>
    <w:rsid w:val="7FAE5DD9"/>
    <w:rsid w:val="7FED0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widowControl/>
      <w:adjustRightInd w:val="0"/>
      <w:spacing w:line="420" w:lineRule="atLeast"/>
      <w:jc w:val="left"/>
      <w:textAlignment w:val="baseline"/>
    </w:pPr>
    <w:rPr>
      <w:rFonts w:ascii="Times New Roman" w:hAnsi="Times New Roman"/>
      <w:kern w:val="0"/>
      <w:sz w:val="24"/>
      <w:szCs w:val="20"/>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qFormat/>
    <w:uiPriority w:val="0"/>
    <w:pPr>
      <w:spacing w:before="240" w:after="60"/>
      <w:jc w:val="center"/>
      <w:outlineLvl w:val="0"/>
    </w:pPr>
    <w:rPr>
      <w:rFonts w:ascii="Calibri Light" w:hAnsi="Calibri Light"/>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2019-01-11T08:59:00Z</dcterms:created>
  <dc:creator>股份商贸</dc:creator>
  <cp:lastModifiedBy>周小琳</cp:lastModifiedBy>
  <cp:lastPrinted>2020-08-10T07:31:00Z</cp:lastPrinted>
  <dcterms:modified xsi:type="dcterms:W3CDTF">2022-03-15T07:40:04Z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