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2"/>
        <w:jc w:val="lef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2</w:t>
      </w:r>
    </w:p>
    <w:p>
      <w:pPr>
        <w:spacing w:line="560" w:lineRule="exact"/>
        <w:ind w:firstLine="562"/>
        <w:jc w:val="center"/>
        <w:rPr>
          <w:rFonts w:ascii="仿宋" w:hAnsi="仿宋" w:eastAsia="仿宋" w:cs="仿宋"/>
          <w:b/>
          <w:bCs/>
          <w:sz w:val="28"/>
          <w:szCs w:val="28"/>
        </w:rPr>
      </w:pPr>
      <w:r>
        <w:rPr>
          <w:rFonts w:hint="eastAsia" w:ascii="仿宋" w:hAnsi="仿宋" w:eastAsia="仿宋" w:cs="仿宋"/>
          <w:b/>
          <w:bCs/>
          <w:sz w:val="28"/>
          <w:szCs w:val="28"/>
        </w:rPr>
        <w:t>成都双流国际机场股份有限公司</w:t>
      </w:r>
    </w:p>
    <w:p>
      <w:pPr>
        <w:spacing w:line="560" w:lineRule="exact"/>
        <w:ind w:firstLine="562"/>
        <w:jc w:val="center"/>
        <w:rPr>
          <w:rFonts w:ascii="仿宋" w:hAnsi="仿宋" w:eastAsia="仿宋" w:cs="仿宋"/>
          <w:b/>
          <w:bCs/>
          <w:sz w:val="44"/>
          <w:szCs w:val="44"/>
        </w:rPr>
      </w:pPr>
      <w:r>
        <w:rPr>
          <w:rFonts w:hint="eastAsia" w:ascii="仿宋" w:hAnsi="仿宋" w:eastAsia="仿宋" w:cs="仿宋"/>
          <w:b/>
          <w:bCs/>
          <w:sz w:val="28"/>
          <w:szCs w:val="28"/>
        </w:rPr>
        <w:t>不良信用供应商管理规定（试行）</w:t>
      </w:r>
    </w:p>
    <w:p>
      <w:pPr>
        <w:numPr>
          <w:ilvl w:val="0"/>
          <w:numId w:val="1"/>
        </w:numPr>
        <w:spacing w:line="560" w:lineRule="exact"/>
        <w:ind w:firstLine="480"/>
        <w:rPr>
          <w:rFonts w:ascii="仿宋" w:hAnsi="仿宋" w:eastAsia="仿宋" w:cs="仿宋"/>
        </w:rPr>
      </w:pPr>
      <w:r>
        <w:rPr>
          <w:rFonts w:hint="eastAsia" w:ascii="仿宋" w:hAnsi="仿宋" w:eastAsia="仿宋" w:cs="仿宋"/>
        </w:rPr>
        <w:t>为加强对成都双流国际机场股份有限公司（以下简称“公司”）采购项目供应商的管理，促进供应商诚实守信、保证供应质量，制定本规定。</w:t>
      </w:r>
    </w:p>
    <w:p>
      <w:pPr>
        <w:numPr>
          <w:ilvl w:val="0"/>
          <w:numId w:val="1"/>
        </w:numPr>
        <w:spacing w:line="560" w:lineRule="exact"/>
        <w:ind w:firstLine="480"/>
        <w:rPr>
          <w:rFonts w:ascii="仿宋" w:hAnsi="仿宋" w:eastAsia="仿宋" w:cs="仿宋"/>
        </w:rPr>
      </w:pPr>
      <w:r>
        <w:rPr>
          <w:rFonts w:hint="eastAsia" w:ascii="仿宋" w:hAnsi="仿宋" w:eastAsia="仿宋" w:cs="仿宋"/>
        </w:rPr>
        <w:t>本规定适用于公司及下属分子公司。</w:t>
      </w:r>
    </w:p>
    <w:p>
      <w:pPr>
        <w:numPr>
          <w:ilvl w:val="0"/>
          <w:numId w:val="1"/>
        </w:numPr>
        <w:spacing w:line="560" w:lineRule="exact"/>
        <w:ind w:firstLine="480"/>
        <w:rPr>
          <w:rFonts w:ascii="仿宋" w:hAnsi="仿宋" w:eastAsia="仿宋" w:cs="仿宋"/>
        </w:rPr>
      </w:pPr>
      <w:r>
        <w:rPr>
          <w:rFonts w:hint="eastAsia" w:ascii="仿宋" w:hAnsi="仿宋" w:eastAsia="仿宋" w:cs="仿宋"/>
        </w:rPr>
        <w:t>不良信用供应商是指存在下列不良信用行为的供应商：</w:t>
      </w:r>
    </w:p>
    <w:p>
      <w:pPr>
        <w:numPr>
          <w:ilvl w:val="0"/>
          <w:numId w:val="2"/>
        </w:numPr>
        <w:spacing w:line="560" w:lineRule="exact"/>
        <w:ind w:firstLine="480"/>
        <w:rPr>
          <w:rFonts w:ascii="仿宋" w:hAnsi="仿宋" w:eastAsia="仿宋" w:cs="仿宋"/>
        </w:rPr>
      </w:pPr>
      <w:r>
        <w:rPr>
          <w:rFonts w:hint="eastAsia" w:ascii="仿宋" w:hAnsi="仿宋" w:eastAsia="仿宋" w:cs="仿宋"/>
        </w:rPr>
        <w:t>采购活动中扰乱采购秩序；</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供应商中标后，无正当理由放弃中标；</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供应商中标后，因自身原因未能按时签订合同，给公司正常业务造成一定影响；</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供应商拒绝或逃避业主单位监督检查；</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供应商年度考核评价为不合格；</w:t>
      </w:r>
    </w:p>
    <w:p>
      <w:pPr>
        <w:numPr>
          <w:ilvl w:val="0"/>
          <w:numId w:val="2"/>
        </w:numPr>
        <w:spacing w:line="560" w:lineRule="exact"/>
        <w:ind w:firstLine="480"/>
        <w:rPr>
          <w:rFonts w:ascii="仿宋" w:hAnsi="仿宋" w:eastAsia="仿宋" w:cs="仿宋"/>
        </w:rPr>
      </w:pPr>
      <w:r>
        <w:rPr>
          <w:rFonts w:hint="eastAsia" w:ascii="仿宋" w:hAnsi="仿宋" w:eastAsia="仿宋" w:cs="仿宋"/>
        </w:rPr>
        <w:t>因供应商的原因导致旅客有效投诉等重大服务问题，造成不良影响；</w:t>
      </w:r>
    </w:p>
    <w:p>
      <w:pPr>
        <w:numPr>
          <w:ilvl w:val="0"/>
          <w:numId w:val="2"/>
        </w:numPr>
        <w:spacing w:line="560" w:lineRule="exact"/>
        <w:ind w:firstLine="480"/>
        <w:rPr>
          <w:rFonts w:ascii="仿宋" w:hAnsi="仿宋" w:eastAsia="仿宋" w:cs="仿宋"/>
        </w:rPr>
      </w:pPr>
      <w:r>
        <w:rPr>
          <w:rFonts w:hint="eastAsia" w:ascii="仿宋" w:hAnsi="仿宋" w:eastAsia="仿宋" w:cs="仿宋"/>
        </w:rPr>
        <w:t>视为供应商相互串通投标；</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供应商篡改采购文件明确列明的技术参数并进行响应；</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供应商在招标采购、资质能力核实、合同履约等活动中提供虚假信息或证明文件；</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供应商在履约过程中发生重大违约行为被解除合同；</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供应商在质保期内不履行质保责任；</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供应商捏造事实或者提供虚假材料，对采购人或其他供应商进行诋毁或恶意投诉；</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供应商借牌挂靠；</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供应商相互恶意串通投标或者与采购人串通投标；</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供应商转包、违法分包；</w:t>
      </w:r>
    </w:p>
    <w:p>
      <w:pPr>
        <w:numPr>
          <w:ilvl w:val="0"/>
          <w:numId w:val="2"/>
        </w:numPr>
        <w:spacing w:line="560" w:lineRule="exact"/>
        <w:ind w:firstLine="480"/>
        <w:rPr>
          <w:rFonts w:ascii="仿宋" w:hAnsi="仿宋" w:eastAsia="仿宋" w:cs="仿宋"/>
        </w:rPr>
      </w:pPr>
      <w:r>
        <w:rPr>
          <w:rFonts w:hint="eastAsia" w:ascii="仿宋" w:hAnsi="仿宋" w:eastAsia="仿宋" w:cs="仿宋"/>
        </w:rPr>
        <w:t>供应商以行贿等违纪违法手段谋取中标；</w:t>
      </w:r>
    </w:p>
    <w:p>
      <w:pPr>
        <w:numPr>
          <w:ilvl w:val="0"/>
          <w:numId w:val="2"/>
        </w:numPr>
        <w:spacing w:line="560" w:lineRule="exact"/>
        <w:ind w:firstLine="480"/>
        <w:rPr>
          <w:rFonts w:ascii="仿宋" w:hAnsi="仿宋" w:eastAsia="仿宋" w:cs="仿宋"/>
        </w:rPr>
      </w:pPr>
      <w:r>
        <w:rPr>
          <w:rFonts w:hint="eastAsia" w:ascii="仿宋" w:hAnsi="仿宋" w:eastAsia="仿宋" w:cs="仿宋"/>
        </w:rPr>
        <w:t>因供应商原因导致重大安全事故或其他重大责任事故；</w:t>
      </w:r>
    </w:p>
    <w:p>
      <w:pPr>
        <w:numPr>
          <w:ilvl w:val="0"/>
          <w:numId w:val="2"/>
        </w:numPr>
        <w:spacing w:line="560" w:lineRule="exact"/>
        <w:ind w:firstLine="480"/>
        <w:rPr>
          <w:rFonts w:ascii="仿宋" w:hAnsi="仿宋" w:eastAsia="仿宋" w:cs="仿宋"/>
        </w:rPr>
      </w:pPr>
      <w:r>
        <w:rPr>
          <w:rFonts w:hint="eastAsia" w:ascii="仿宋" w:hAnsi="仿宋" w:eastAsia="仿宋" w:cs="仿宋"/>
        </w:rPr>
        <w:t>其他不良信用行为。</w:t>
      </w:r>
    </w:p>
    <w:p>
      <w:pPr>
        <w:numPr>
          <w:ilvl w:val="0"/>
          <w:numId w:val="1"/>
        </w:numPr>
        <w:spacing w:line="560" w:lineRule="exact"/>
        <w:ind w:firstLine="480"/>
        <w:rPr>
          <w:rFonts w:ascii="仿宋" w:hAnsi="仿宋" w:eastAsia="仿宋" w:cs="仿宋"/>
        </w:rPr>
      </w:pPr>
      <w:r>
        <w:rPr>
          <w:rFonts w:hint="eastAsia" w:ascii="仿宋" w:hAnsi="仿宋" w:eastAsia="仿宋" w:cs="仿宋"/>
        </w:rPr>
        <w:t>对不良信用供应商的处理措施</w:t>
      </w:r>
    </w:p>
    <w:p>
      <w:pPr>
        <w:numPr>
          <w:ilvl w:val="0"/>
          <w:numId w:val="3"/>
        </w:numPr>
        <w:spacing w:line="560" w:lineRule="exact"/>
        <w:ind w:firstLine="480"/>
        <w:rPr>
          <w:rFonts w:ascii="仿宋" w:hAnsi="仿宋" w:eastAsia="仿宋" w:cs="仿宋"/>
        </w:rPr>
      </w:pPr>
      <w:r>
        <w:rPr>
          <w:rFonts w:hint="eastAsia" w:ascii="仿宋" w:hAnsi="仿宋" w:eastAsia="仿宋" w:cs="仿宋"/>
        </w:rPr>
        <w:t>发生第三条中第一至七项不良信用行为的供应商，禁止在2年内参与股份公司所有采购项目投标；</w:t>
      </w:r>
    </w:p>
    <w:p>
      <w:pPr>
        <w:numPr>
          <w:ilvl w:val="0"/>
          <w:numId w:val="3"/>
        </w:numPr>
        <w:spacing w:line="560" w:lineRule="exact"/>
        <w:ind w:firstLine="480"/>
        <w:rPr>
          <w:rFonts w:ascii="仿宋" w:hAnsi="仿宋" w:eastAsia="仿宋" w:cs="仿宋"/>
        </w:rPr>
      </w:pPr>
      <w:r>
        <w:rPr>
          <w:rFonts w:hint="eastAsia" w:ascii="仿宋" w:hAnsi="仿宋" w:eastAsia="仿宋" w:cs="仿宋"/>
        </w:rPr>
        <w:t>发生第三条中第八至十七项不良信用行为的供应商，永久禁止参与股份公司所有采购项目投标；</w:t>
      </w:r>
    </w:p>
    <w:p>
      <w:pPr>
        <w:numPr>
          <w:ilvl w:val="0"/>
          <w:numId w:val="3"/>
        </w:numPr>
        <w:spacing w:line="560" w:lineRule="exact"/>
        <w:ind w:firstLine="480"/>
        <w:rPr>
          <w:rFonts w:ascii="仿宋" w:hAnsi="仿宋" w:eastAsia="仿宋" w:cs="仿宋"/>
        </w:rPr>
      </w:pPr>
      <w:r>
        <w:rPr>
          <w:rFonts w:hint="eastAsia" w:ascii="仿宋" w:hAnsi="仿宋" w:eastAsia="仿宋" w:cs="仿宋"/>
        </w:rPr>
        <w:t>发生其他不良信用行为的供应商的处理措施，根据具体情况由采购组织机构、纪委办及相关部门集体研究决定；</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供应商在被列入不良信用行为清单期间再次发生不良信用行为的，禁止投标时限合并计算，相应延长。</w:t>
      </w:r>
    </w:p>
    <w:p>
      <w:pPr>
        <w:spacing w:line="560" w:lineRule="exact"/>
        <w:ind w:firstLine="482"/>
        <w:rPr>
          <w:rFonts w:ascii="仿宋" w:hAnsi="仿宋" w:eastAsia="仿宋" w:cs="仿宋"/>
        </w:rPr>
      </w:pPr>
      <w:r>
        <w:rPr>
          <w:rFonts w:hint="eastAsia" w:ascii="仿宋" w:hAnsi="仿宋" w:eastAsia="仿宋" w:cs="仿宋"/>
          <w:b/>
          <w:bCs/>
        </w:rPr>
        <w:t>第五条</w:t>
      </w:r>
      <w:r>
        <w:rPr>
          <w:rFonts w:hint="eastAsia" w:ascii="仿宋" w:hAnsi="仿宋" w:eastAsia="仿宋" w:cs="仿宋"/>
        </w:rPr>
        <w:t xml:space="preserve"> 对不良信用供应商的处理措施涵盖供应商总分公司，即对总公司的处理措施同样适用于其分公司，对分公司的处理措施同样适用于其总公司及其他分公司。</w:t>
      </w:r>
    </w:p>
    <w:p>
      <w:pPr>
        <w:spacing w:line="560" w:lineRule="exact"/>
        <w:ind w:firstLine="482"/>
        <w:rPr>
          <w:rFonts w:ascii="仿宋" w:hAnsi="仿宋" w:eastAsia="仿宋" w:cs="仿宋"/>
        </w:rPr>
      </w:pPr>
      <w:r>
        <w:rPr>
          <w:rFonts w:hint="eastAsia" w:ascii="仿宋" w:hAnsi="仿宋" w:eastAsia="仿宋" w:cs="仿宋"/>
          <w:b/>
          <w:bCs/>
        </w:rPr>
        <w:t>第六条</w:t>
      </w:r>
      <w:r>
        <w:rPr>
          <w:rFonts w:hint="eastAsia" w:ascii="仿宋" w:hAnsi="仿宋" w:eastAsia="仿宋" w:cs="仿宋"/>
        </w:rPr>
        <w:t xml:space="preserve"> 不良信用供应商认定程序</w:t>
      </w:r>
    </w:p>
    <w:p>
      <w:pPr>
        <w:numPr>
          <w:ilvl w:val="0"/>
          <w:numId w:val="4"/>
        </w:numPr>
        <w:spacing w:line="560" w:lineRule="exact"/>
        <w:ind w:firstLine="480"/>
        <w:rPr>
          <w:rFonts w:ascii="仿宋" w:hAnsi="仿宋" w:eastAsia="仿宋" w:cs="仿宋"/>
        </w:rPr>
      </w:pPr>
      <w:r>
        <w:rPr>
          <w:rFonts w:hint="eastAsia" w:ascii="仿宋" w:hAnsi="仿宋" w:eastAsia="仿宋" w:cs="仿宋"/>
        </w:rPr>
        <w:t>供应商发生不良信用行为的，在采购环节由采购组织实施部门负责收集相关证据材料，在合同签订及履约环节由合同签订部门负责收集相关证据材料，在考核评价环节由牵头考核评价的部门负责收集相关证据材料；</w:t>
      </w:r>
    </w:p>
    <w:p>
      <w:pPr>
        <w:numPr>
          <w:ilvl w:val="0"/>
          <w:numId w:val="4"/>
        </w:numPr>
        <w:spacing w:line="560" w:lineRule="exact"/>
        <w:ind w:firstLine="480"/>
        <w:rPr>
          <w:rFonts w:ascii="仿宋" w:hAnsi="仿宋" w:eastAsia="仿宋" w:cs="仿宋"/>
        </w:rPr>
      </w:pPr>
      <w:r>
        <w:rPr>
          <w:rFonts w:hint="eastAsia" w:ascii="仿宋" w:hAnsi="仿宋" w:eastAsia="仿宋" w:cs="仿宋"/>
        </w:rPr>
        <w:t>相关部门收集证据材料后并形成初步处理意见书，货物服务类项目相关资料报送至经营管理部，施工类项目相关资料报送至资产管理部；</w:t>
      </w:r>
    </w:p>
    <w:p>
      <w:pPr>
        <w:numPr>
          <w:ilvl w:val="0"/>
          <w:numId w:val="4"/>
        </w:numPr>
        <w:spacing w:line="560" w:lineRule="exact"/>
        <w:ind w:firstLine="480"/>
        <w:rPr>
          <w:rFonts w:ascii="仿宋" w:hAnsi="仿宋" w:eastAsia="仿宋" w:cs="仿宋"/>
        </w:rPr>
      </w:pPr>
      <w:r>
        <w:rPr>
          <w:rFonts w:hint="eastAsia" w:ascii="仿宋" w:hAnsi="仿宋" w:eastAsia="仿宋" w:cs="仿宋"/>
        </w:rPr>
        <w:t>经营管理部或资产管理部在收到证据材料及初步处理意见书后，召集（货物服务类项目由经营管理部召集、施工类项目由资产管理部召集）采购组织机构各部门、纪委办及相关部门召开会议，对是否界定为不良信用行为及具体处理措施进行研究并形成会议纪要；</w:t>
      </w:r>
    </w:p>
    <w:p>
      <w:pPr>
        <w:numPr>
          <w:ilvl w:val="0"/>
          <w:numId w:val="4"/>
        </w:numPr>
        <w:spacing w:line="560" w:lineRule="exact"/>
        <w:ind w:firstLine="480"/>
        <w:rPr>
          <w:rFonts w:ascii="仿宋" w:hAnsi="仿宋" w:eastAsia="仿宋" w:cs="仿宋"/>
        </w:rPr>
      </w:pPr>
      <w:r>
        <w:rPr>
          <w:rFonts w:hint="eastAsia" w:ascii="仿宋" w:hAnsi="仿宋" w:eastAsia="仿宋" w:cs="仿宋"/>
        </w:rPr>
        <w:t>由收集证据材料的部门将对供应商的处理措施告知供应商，自告知之日起5个工作日内为异议受理期，受理期内未收到供应商盖章书面异议的，视为供应商无异议。若收到异议的，由原参会部门研究决定处理意见；</w:t>
      </w:r>
    </w:p>
    <w:p>
      <w:pPr>
        <w:spacing w:line="560" w:lineRule="exact"/>
        <w:ind w:firstLine="480"/>
        <w:rPr>
          <w:rFonts w:ascii="仿宋" w:hAnsi="仿宋" w:eastAsia="仿宋" w:cs="仿宋"/>
        </w:rPr>
      </w:pPr>
      <w:r>
        <w:rPr>
          <w:rFonts w:hint="eastAsia" w:ascii="仿宋" w:hAnsi="仿宋" w:eastAsia="仿宋" w:cs="仿宋"/>
        </w:rPr>
        <w:t>（五）施工类项目不良信用供应商由资产管理部汇总至经营管理部，经营管理部负责将全部不良信用供应商目录清单及处理措施在公司办公网以通知的形式发送至公司各部门及分子公司，并根据情况更新。</w:t>
      </w:r>
    </w:p>
    <w:p>
      <w:pPr>
        <w:spacing w:line="560" w:lineRule="exact"/>
        <w:ind w:firstLine="482"/>
        <w:rPr>
          <w:rFonts w:ascii="仿宋" w:hAnsi="仿宋" w:eastAsia="仿宋" w:cs="仿宋"/>
        </w:rPr>
      </w:pPr>
      <w:r>
        <w:rPr>
          <w:rFonts w:hint="eastAsia" w:ascii="仿宋" w:hAnsi="仿宋" w:eastAsia="仿宋" w:cs="仿宋"/>
          <w:b/>
          <w:bCs/>
        </w:rPr>
        <w:t>第七条</w:t>
      </w:r>
      <w:r>
        <w:rPr>
          <w:rFonts w:hint="eastAsia" w:ascii="仿宋" w:hAnsi="仿宋" w:eastAsia="仿宋" w:cs="仿宋"/>
        </w:rPr>
        <w:t xml:space="preserve"> 各采购项目组织实施部门及相关参与部门应按不良信用供应商目录清单进行审查，对于列入不良信用供应商目录清单的供应商，应按照处理措施禁止供应商参与公司采购项目投标。</w:t>
      </w:r>
    </w:p>
    <w:p>
      <w:pPr>
        <w:spacing w:line="560" w:lineRule="exact"/>
        <w:ind w:firstLine="482"/>
        <w:rPr>
          <w:rFonts w:ascii="仿宋" w:hAnsi="仿宋" w:eastAsia="仿宋" w:cs="仿宋"/>
        </w:rPr>
      </w:pPr>
      <w:r>
        <w:rPr>
          <w:rFonts w:hint="eastAsia" w:ascii="仿宋" w:hAnsi="仿宋" w:eastAsia="仿宋" w:cs="仿宋"/>
          <w:b/>
          <w:bCs/>
        </w:rPr>
        <w:t>第八条</w:t>
      </w:r>
      <w:r>
        <w:rPr>
          <w:rFonts w:hint="eastAsia" w:ascii="仿宋" w:hAnsi="仿宋" w:eastAsia="仿宋" w:cs="仿宋"/>
        </w:rPr>
        <w:t xml:space="preserve"> 本规定由经营管理部和资产管理部负责解释。本规定未作规定，或与法律法规、上级单位制度等规定相冲突的，以相关法律法规、上级单位制度为准。</w:t>
      </w:r>
    </w:p>
    <w:p>
      <w:pPr>
        <w:spacing w:line="560" w:lineRule="exact"/>
        <w:ind w:firstLine="482"/>
        <w:rPr>
          <w:rFonts w:ascii="仿宋" w:hAnsi="仿宋" w:eastAsia="仿宋" w:cs="仿宋"/>
        </w:rPr>
      </w:pPr>
      <w:r>
        <w:rPr>
          <w:rFonts w:hint="eastAsia" w:ascii="仿宋" w:hAnsi="仿宋" w:eastAsia="仿宋" w:cs="仿宋"/>
          <w:b/>
          <w:bCs/>
        </w:rPr>
        <w:t>第九条</w:t>
      </w:r>
      <w:r>
        <w:rPr>
          <w:rFonts w:hint="eastAsia" w:ascii="仿宋" w:hAnsi="仿宋" w:eastAsia="仿宋" w:cs="仿宋"/>
        </w:rPr>
        <w:t xml:space="preserve"> 本规定自下发之日起施行。</w:t>
      </w:r>
    </w:p>
    <w:p>
      <w:pPr>
        <w:widowControl/>
        <w:spacing w:line="560" w:lineRule="exact"/>
        <w:jc w:val="left"/>
        <w:rPr>
          <w:rFonts w:ascii="宋体" w:hAnsi="宋体" w:cs="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292F3"/>
    <w:multiLevelType w:val="singleLevel"/>
    <w:tmpl w:val="8E1292F3"/>
    <w:lvl w:ilvl="0" w:tentative="0">
      <w:start w:val="1"/>
      <w:numFmt w:val="chineseCounting"/>
      <w:suff w:val="nothing"/>
      <w:lvlText w:val="（%1）"/>
      <w:lvlJc w:val="left"/>
      <w:rPr>
        <w:rFonts w:hint="eastAsia"/>
      </w:rPr>
    </w:lvl>
  </w:abstractNum>
  <w:abstractNum w:abstractNumId="1">
    <w:nsid w:val="A6121361"/>
    <w:multiLevelType w:val="singleLevel"/>
    <w:tmpl w:val="A6121361"/>
    <w:lvl w:ilvl="0" w:tentative="0">
      <w:start w:val="1"/>
      <w:numFmt w:val="chineseCounting"/>
      <w:suff w:val="nothing"/>
      <w:lvlText w:val="（%1）"/>
      <w:lvlJc w:val="left"/>
      <w:rPr>
        <w:rFonts w:hint="eastAsia"/>
      </w:rPr>
    </w:lvl>
  </w:abstractNum>
  <w:abstractNum w:abstractNumId="2">
    <w:nsid w:val="B997E321"/>
    <w:multiLevelType w:val="singleLevel"/>
    <w:tmpl w:val="B997E321"/>
    <w:lvl w:ilvl="0" w:tentative="0">
      <w:start w:val="1"/>
      <w:numFmt w:val="chineseCounting"/>
      <w:suff w:val="nothing"/>
      <w:lvlText w:val="（%1）"/>
      <w:lvlJc w:val="left"/>
      <w:rPr>
        <w:rFonts w:hint="eastAsia"/>
      </w:rPr>
    </w:lvl>
  </w:abstractNum>
  <w:abstractNum w:abstractNumId="3">
    <w:nsid w:val="1E5798CC"/>
    <w:multiLevelType w:val="singleLevel"/>
    <w:tmpl w:val="1E5798CC"/>
    <w:lvl w:ilvl="0" w:tentative="0">
      <w:start w:val="1"/>
      <w:numFmt w:val="chineseCounting"/>
      <w:suff w:val="space"/>
      <w:lvlText w:val="第%1条"/>
      <w:lvlJc w:val="left"/>
      <w:rPr>
        <w:rFonts w:hint="eastAsia"/>
        <w:b/>
        <w:bC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36483"/>
    <w:rsid w:val="0C014DAF"/>
    <w:rsid w:val="13B256DD"/>
    <w:rsid w:val="16D425D7"/>
    <w:rsid w:val="183640FA"/>
    <w:rsid w:val="18CE098A"/>
    <w:rsid w:val="19846AC3"/>
    <w:rsid w:val="200C00D5"/>
    <w:rsid w:val="21AF116B"/>
    <w:rsid w:val="24A61FC0"/>
    <w:rsid w:val="261C7098"/>
    <w:rsid w:val="28326F61"/>
    <w:rsid w:val="2F6E405B"/>
    <w:rsid w:val="32F934A8"/>
    <w:rsid w:val="33316DAF"/>
    <w:rsid w:val="38107884"/>
    <w:rsid w:val="3AA422BC"/>
    <w:rsid w:val="3BCF2F9D"/>
    <w:rsid w:val="3C0D01E0"/>
    <w:rsid w:val="41AF44D5"/>
    <w:rsid w:val="455C775F"/>
    <w:rsid w:val="5AE1165F"/>
    <w:rsid w:val="5C1C5F9B"/>
    <w:rsid w:val="5EA92885"/>
    <w:rsid w:val="60925AF1"/>
    <w:rsid w:val="69FD0EB2"/>
    <w:rsid w:val="6A5B212A"/>
    <w:rsid w:val="6C95456B"/>
    <w:rsid w:val="6DD56B73"/>
    <w:rsid w:val="7300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3"/>
    <w:qFormat/>
    <w:uiPriority w:val="0"/>
    <w:pPr>
      <w:spacing w:before="0" w:beforeAutospacing="1" w:after="0" w:afterAutospacing="1"/>
      <w:jc w:val="left"/>
      <w:outlineLvl w:val="0"/>
    </w:pPr>
    <w:rPr>
      <w:rFonts w:hint="eastAsia" w:ascii="宋体" w:hAnsi="宋体" w:eastAsia="方正小标宋简体" w:cs="宋体"/>
      <w:b/>
      <w:kern w:val="44"/>
      <w:sz w:val="44"/>
      <w:szCs w:val="48"/>
      <w:lang w:bidi="ar"/>
    </w:rPr>
  </w:style>
  <w:style w:type="paragraph" w:styleId="5">
    <w:name w:val="heading 2"/>
    <w:basedOn w:val="1"/>
    <w:next w:val="1"/>
    <w:link w:val="1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heme="minorBidi"/>
      <w:b/>
      <w:sz w:val="32"/>
      <w:szCs w:val="22"/>
    </w:rPr>
  </w:style>
  <w:style w:type="paragraph" w:styleId="6">
    <w:name w:val="heading 3"/>
    <w:basedOn w:val="1"/>
    <w:next w:val="1"/>
    <w:link w:val="12"/>
    <w:semiHidden/>
    <w:unhideWhenUsed/>
    <w:qFormat/>
    <w:uiPriority w:val="0"/>
    <w:pPr>
      <w:spacing w:before="0" w:beforeAutospacing="1" w:after="0" w:afterAutospacing="1"/>
      <w:jc w:val="left"/>
      <w:outlineLvl w:val="2"/>
    </w:pPr>
    <w:rPr>
      <w:rFonts w:hint="eastAsia" w:ascii="宋体" w:hAnsi="宋体" w:eastAsia="楷体" w:cs="宋体"/>
      <w:b/>
      <w:kern w:val="0"/>
      <w:sz w:val="32"/>
      <w:szCs w:val="27"/>
      <w:lang w:bidi="ar"/>
    </w:rPr>
  </w:style>
  <w:style w:type="paragraph" w:styleId="7">
    <w:name w:val="heading 4"/>
    <w:basedOn w:val="1"/>
    <w:next w:val="1"/>
    <w:link w:val="10"/>
    <w:semiHidden/>
    <w:unhideWhenUsed/>
    <w:qFormat/>
    <w:uiPriority w:val="0"/>
    <w:pPr>
      <w:spacing w:before="0" w:beforeAutospacing="1" w:after="0" w:afterAutospacing="1"/>
      <w:jc w:val="left"/>
      <w:outlineLvl w:val="3"/>
    </w:pPr>
    <w:rPr>
      <w:rFonts w:hint="eastAsia" w:ascii="宋体" w:hAnsi="宋体" w:cs="宋体"/>
      <w:b/>
      <w:kern w:val="0"/>
      <w:lang w:bidi="ar"/>
    </w:rPr>
  </w:style>
  <w:style w:type="character" w:default="1" w:styleId="9">
    <w:name w:val="Default Paragraph Font"/>
    <w:semiHidden/>
    <w:qFormat/>
    <w:uiPriority w:val="0"/>
    <w:rPr>
      <w:rFonts w:ascii="Times New Roman" w:hAnsi="Times New Roman"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afterAutospacing="0"/>
    </w:pPr>
  </w:style>
  <w:style w:type="paragraph" w:customStyle="1" w:styleId="3">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0">
    <w:name w:val="标题 4 Char"/>
    <w:link w:val="7"/>
    <w:qFormat/>
    <w:uiPriority w:val="0"/>
    <w:rPr>
      <w:rFonts w:ascii="Arial" w:hAnsi="Arial" w:eastAsia="仿宋_GB2312"/>
      <w:b/>
      <w:sz w:val="32"/>
    </w:rPr>
  </w:style>
  <w:style w:type="character" w:customStyle="1" w:styleId="11">
    <w:name w:val="标题 2 Char"/>
    <w:link w:val="5"/>
    <w:qFormat/>
    <w:uiPriority w:val="0"/>
    <w:rPr>
      <w:rFonts w:ascii="Arial" w:hAnsi="Arial" w:eastAsia="黑体" w:cstheme="minorBidi"/>
      <w:b/>
      <w:sz w:val="32"/>
      <w:szCs w:val="22"/>
    </w:rPr>
  </w:style>
  <w:style w:type="character" w:customStyle="1" w:styleId="12">
    <w:name w:val="标题 3 Char"/>
    <w:link w:val="6"/>
    <w:qFormat/>
    <w:uiPriority w:val="0"/>
    <w:rPr>
      <w:rFonts w:eastAsia="楷体"/>
      <w:b/>
      <w:sz w:val="32"/>
    </w:rPr>
  </w:style>
  <w:style w:type="character" w:customStyle="1" w:styleId="13">
    <w:name w:val="标题 1 Char"/>
    <w:link w:val="4"/>
    <w:qFormat/>
    <w:uiPriority w:val="0"/>
    <w:rPr>
      <w:rFonts w:hint="eastAsia" w:ascii="宋体" w:hAnsi="宋体" w:eastAsia="方正小标宋简体" w:cs="宋体"/>
      <w:b/>
      <w:kern w:val="44"/>
      <w:sz w:val="44"/>
      <w:szCs w:val="48"/>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2020-05-07T08:54:00Z</dcterms:created>
  <dc:creator>ZHL</dc:creator>
  <cp:lastModifiedBy>张黄丽</cp:lastModifiedBy>
  <dcterms:modified xsi:type="dcterms:W3CDTF">2022-04-01T01:47:17Z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