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line="560" w:lineRule="exact"/>
        <w:rPr>
          <w:rFonts w:ascii="仿宋_GB2312" w:eastAsia="仿宋_GB2312" w:hAnsi="仿宋_GB2312" w:cs="仿宋_GB2312" w:hint="eastAsia"/>
          <w:b/>
          <w:bCs/>
          <w:sz w:val="32"/>
          <w:szCs w:val="32"/>
          <w:lang w:val="ru-RU"/>
        </w:rPr>
      </w:pPr>
      <w:r>
        <w:rPr>
          <w:rFonts w:ascii="仿宋_GB2312" w:eastAsia="仿宋_GB2312" w:hAnsi="仿宋_GB2312" w:cs="仿宋_GB2312" w:hint="eastAsia"/>
          <w:b/>
          <w:bCs/>
          <w:sz w:val="32"/>
          <w:szCs w:val="32"/>
          <w:lang w:val="ru-RU"/>
        </w:rPr>
        <w:t xml:space="preserve">附件4： </w:t>
      </w:r>
    </w:p>
    <w:p>
      <w:pPr>
        <w:autoSpaceDE w:val="false"/>
        <w:autoSpaceDN w:val="false"/>
        <w:adjustRightInd w:val="false"/>
        <w:spacing w:line="560" w:lineRule="exact"/>
        <w:jc w:val="center"/>
        <w:rPr>
          <w:rFonts w:ascii="方正小标宋简体" w:eastAsia="方正小标宋简体" w:hAnsi="仿宋_GB2312" w:cs="仿宋_GB2312"/>
          <w:bCs/>
          <w:color w:val="000000"/>
          <w:sz w:val="40"/>
          <w:szCs w:val="32"/>
        </w:rPr>
      </w:pPr>
      <w:r>
        <w:rPr>
          <w:rFonts w:ascii="方正小标宋简体" w:eastAsia="方正小标宋简体" w:hAnsi="仿宋_GB2312" w:cs="仿宋_GB2312" w:hint="eastAsia"/>
          <w:bCs/>
          <w:color w:val="000000"/>
          <w:sz w:val="40"/>
          <w:szCs w:val="32"/>
        </w:rPr>
        <w:t xml:space="preserve">成都空公联运平台企业评分标准</w:t>
      </w:r>
    </w:p>
    <w:p>
      <w:pPr>
        <w:widowControl w:val="true"/>
        <w:spacing/>
        <w:jc w:val="left"/>
        <w:rPr>
          <w:rFonts w:ascii="仿宋" w:eastAsia="仿宋" w:hAnsi="仿宋" w:cs="仿宋"/>
          <w:b/>
          <w:sz w:val="32"/>
          <w:szCs w:val="32"/>
        </w:rPr>
      </w:pPr>
    </w:p>
    <w:p>
      <w:pPr>
        <w:widowControl w:val="true"/>
        <w:spacing/>
        <w:jc w:val="left"/>
        <w:rPr>
          <w:rFonts w:ascii="仿宋" w:eastAsia="仿宋" w:hAnsi="仿宋" w:cs="仿宋"/>
          <w:b/>
          <w:sz w:val="32"/>
          <w:szCs w:val="32"/>
        </w:rPr>
      </w:pPr>
      <w:r>
        <w:rPr>
          <w:rFonts w:ascii="仿宋" w:eastAsia="仿宋" w:hAnsi="仿宋" w:cs="仿宋" w:hint="eastAsia"/>
          <w:b/>
          <w:sz w:val="32"/>
          <w:szCs w:val="32"/>
        </w:rPr>
        <w:t xml:space="preserve">注意：每项评分内容均须提供证明文件。不提供或提供内容不完善的，该项不得分。</w:t>
      </w:r>
    </w:p>
    <w:p>
      <w:pPr>
        <w:widowControl w:val="true"/>
        <w:spacing/>
        <w:jc w:val="left"/>
        <w:rPr>
          <w:rFonts w:ascii="黑体" w:eastAsia="黑体" w:hAnsi="黑体" w:cs="黑体" w:hint="eastAsia"/>
          <w:b/>
          <w:bCs/>
          <w:sz w:val="32"/>
          <w:szCs w:val="32"/>
        </w:rPr>
      </w:pPr>
      <w:r>
        <w:rPr>
          <w:rFonts w:ascii="黑体" w:eastAsia="黑体" w:hAnsi="黑体" w:cs="黑体" w:hint="eastAsia"/>
          <w:b/>
          <w:bCs/>
          <w:sz w:val="32"/>
          <w:szCs w:val="32"/>
        </w:rPr>
        <w:t xml:space="preserve">（一）商务评分（</w:t>
      </w:r>
      <w:r>
        <w:rPr>
          <w:rFonts w:ascii="黑体" w:eastAsia="黑体" w:hAnsi="黑体" w:cs="黑体"/>
          <w:b/>
          <w:bCs/>
          <w:sz w:val="32"/>
          <w:szCs w:val="32"/>
        </w:rPr>
        <w:t xml:space="preserve">S1</w:t>
      </w:r>
      <w:r>
        <w:rPr>
          <w:rFonts w:ascii="黑体" w:eastAsia="黑体" w:hAnsi="黑体" w:cs="黑体" w:hint="eastAsia"/>
          <w:b/>
          <w:bCs/>
          <w:sz w:val="32"/>
          <w:szCs w:val="32"/>
        </w:rPr>
        <w:t xml:space="preserve">）：55分，商务评分考虑下列因素：</w:t>
      </w:r>
    </w:p>
    <w:tbl>
      <w:tblPr>
        <w:tblStyle w:val="2"/>
        <w:tblLook w:val="04A0" w:firstRow="1" w:lastRow="0" w:firstColumn="1" w:lastColumn="0" w:noHBand="0" w:noVBand="1"/>
        <w:tblCaption w:val=""/>
        <w:tblDescription w:val=""/>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
      <w:tblGrid>
        <w:gridCol w:w="704"/>
        <w:gridCol w:w="1418"/>
        <w:gridCol w:w="5528"/>
        <w:gridCol w:w="646"/>
      </w:tblGrid>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序号</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评分因素</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评分标准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满分得分</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rHeight w:val="458" w:hRule="atLeast"/>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企业概况</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pStyle w:val="4"/>
              <w:widowControl w:val="true"/>
              <w:numPr>
                <w:ilvl w:val="0"/>
                <w:numId w:val="6"/>
              </w:numPr>
              <w:spacing/>
              <w:ind w:firstLineChars="0"/>
              <w:jc w:val="left"/>
              <w:rPr>
                <w:rFonts w:ascii="微软雅黑" w:eastAsia="微软雅黑" w:hAnsi="微软雅黑" w:cs="微软雅黑" w:hint="eastAsia"/>
                <w:sz w:val="18"/>
                <w:szCs w:val="18"/>
              </w:rPr>
            </w:pPr>
            <w:r>
              <w:rPr>
                <w:rFonts w:ascii="微软雅黑" w:eastAsia="微软雅黑" w:hAnsi="微软雅黑" w:cs="宋体" w:hint="eastAsia"/>
                <w:color w:val="000000"/>
                <w:sz w:val="18"/>
                <w:szCs w:val="18"/>
              </w:rPr>
              <w:t xml:space="preserve">监管卡车运输资质</w:t>
            </w:r>
            <w:r>
              <w:rPr>
                <w:rFonts w:ascii="微软雅黑" w:eastAsia="微软雅黑" w:hAnsi="微软雅黑" w:cs="微软雅黑" w:hint="eastAsia"/>
                <w:sz w:val="18"/>
                <w:szCs w:val="18"/>
              </w:rPr>
              <w:t xml:space="preserve">文件（</w:t>
            </w:r>
            <w:r>
              <w:rPr>
                <w:rFonts w:ascii="微软雅黑" w:eastAsia="微软雅黑" w:hAnsi="微软雅黑" w:cs="微软雅黑"/>
                <w:sz w:val="18"/>
                <w:szCs w:val="18"/>
              </w:rPr>
              <w:t xml:space="preserve">5</w:t>
            </w:r>
            <w:r>
              <w:rPr>
                <w:rFonts w:ascii="微软雅黑" w:eastAsia="微软雅黑" w:hAnsi="微软雅黑" w:cs="微软雅黑" w:hint="eastAsia"/>
                <w:sz w:val="18"/>
                <w:szCs w:val="18"/>
              </w:rPr>
              <w:t xml:space="preserve">分）。</w:t>
            </w:r>
          </w:p>
          <w:p>
            <w:pPr>
              <w:pStyle w:val="4"/>
              <w:widowControl w:val="true"/>
              <w:numPr>
                <w:ilvl w:val="0"/>
                <w:numId w:val="6"/>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注册资金500（含）-1000万元（不含），得1分；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注册资金1000万（含）-2000万（不含），得2分；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注册资金2000万（含）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5000万（不含），得3.5分；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注册资金5000万（含）以上，得5分。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2</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企业财务实力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净资产（取资产负债表中“所有者权益”）</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-1000万元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得</w:t>
            </w:r>
            <w:r>
              <w:rPr>
                <w:rFonts w:ascii="微软雅黑" w:eastAsia="微软雅黑" w:hAnsi="微软雅黑" w:cs="微软雅黑" w:hint="eastAsia"/>
                <w:sz w:val="18"/>
                <w:szCs w:val="18"/>
              </w:rPr>
              <w:t xml:space="preserve">1分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1000万元（含）-5000万元（不含），得2分；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5000万元（含）-1亿元（不含），得3.5分；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1亿元（含）以上，得5分；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注：需提供经审计的2021年财务报告加盖单位公章；如财务账目为外币计量的，按2021年12月31日中国人民银行公布的现汇牌价中间价进行折算</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3</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rPr>
                <w:rFonts w:ascii="微软雅黑" w:eastAsia="微软雅黑" w:hAnsi="微软雅黑" w:cs="微软雅黑" w:hint="eastAsia"/>
                <w:sz w:val="18"/>
                <w:szCs w:val="18"/>
              </w:rPr>
            </w:pPr>
            <w:r>
              <w:rPr>
                <w:rFonts w:ascii="微软雅黑" w:eastAsia="微软雅黑" w:hAnsi="微软雅黑" w:cs="微软雅黑" w:hint="eastAsia"/>
                <w:b/>
                <w:bCs/>
                <w:sz w:val="18"/>
                <w:szCs w:val="18"/>
              </w:rPr>
              <w:t xml:space="preserve">服务年限</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开展地面运输服务的年限：</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3年以下，得1分；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3年（含）-5 年（不含），得2分；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5（含）-10 年（不含），得3.5分；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10年及以上，得5分。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注：以营业</w:t>
            </w:r>
            <w:r>
              <w:rPr>
                <w:rFonts w:ascii="微软雅黑" w:eastAsia="微软雅黑" w:hAnsi="微软雅黑" w:cs="微软雅黑"/>
                <w:sz w:val="18"/>
                <w:szCs w:val="20"/>
              </w:rPr>
              <w:t xml:space="preserve">执照注册时间为准。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4</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航空货物地面运输服务经验</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参评企业及其分公司对航空货运市场具有保障经验及应变能力、在市场化运作机制等方面具有优势，能为成都航空口岸各运营主体提供客观、公平的中性服务的运营秩序。</w:t>
            </w:r>
          </w:p>
          <w:p>
            <w:pPr>
              <w:pStyle w:val="4"/>
              <w:widowControl w:val="true"/>
              <w:numPr>
                <w:ilvl w:val="0"/>
                <w:numId w:val="7"/>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如服务对象为在成都运营国际（地区）定期全货运（及客改货）航线的航司，每个服务对象得</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分。（本项目最高得1</w:t>
            </w:r>
            <w:r>
              <w:rPr>
                <w:rFonts w:ascii="微软雅黑" w:eastAsia="微软雅黑" w:hAnsi="微软雅黑" w:cs="微软雅黑"/>
                <w:sz w:val="18"/>
                <w:szCs w:val="18"/>
              </w:rPr>
              <w:t xml:space="preserve">0</w:t>
            </w:r>
            <w:r>
              <w:rPr>
                <w:rFonts w:ascii="微软雅黑" w:eastAsia="微软雅黑" w:hAnsi="微软雅黑" w:cs="微软雅黑" w:hint="eastAsia"/>
                <w:sz w:val="18"/>
                <w:szCs w:val="18"/>
              </w:rPr>
              <w:t xml:space="preserve">分）</w:t>
            </w:r>
          </w:p>
          <w:p>
            <w:pPr>
              <w:pStyle w:val="4"/>
              <w:widowControl w:val="true"/>
              <w:numPr>
                <w:ilvl w:val="0"/>
                <w:numId w:val="7"/>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如服务对象为2021年全球航空货运量排名前10的货运代理人，则每个货运代理人得5分；排名11-20的货运代理人，每个得2.5分；排名21-30位的货运代理人，每个得1分。（本项目最高得1</w:t>
            </w:r>
            <w:r>
              <w:rPr>
                <w:rFonts w:ascii="微软雅黑" w:eastAsia="微软雅黑" w:hAnsi="微软雅黑" w:cs="微软雅黑"/>
                <w:sz w:val="18"/>
                <w:szCs w:val="18"/>
              </w:rPr>
              <w:t xml:space="preserve">0</w:t>
            </w:r>
            <w:r>
              <w:rPr>
                <w:rFonts w:ascii="微软雅黑" w:eastAsia="微软雅黑" w:hAnsi="微软雅黑" w:cs="微软雅黑" w:hint="eastAsia"/>
                <w:sz w:val="18"/>
                <w:szCs w:val="18"/>
              </w:rPr>
              <w:t xml:space="preserve">分）</w:t>
            </w:r>
          </w:p>
          <w:p>
            <w:pPr>
              <w:pStyle w:val="4"/>
              <w:widowControl w:val="true"/>
              <w:numPr>
                <w:ilvl w:val="0"/>
                <w:numId w:val="7"/>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如服务对象为2020年中国国际货代物流空运业务总收入排名前10的货运代理人，则每个货运代理人得5分；排名11-20的货运代理人，每个得2.5分；排名21-30位的货运代理人，每个得1分。（本项目最高得1</w:t>
            </w:r>
            <w:r>
              <w:rPr>
                <w:rFonts w:ascii="微软雅黑" w:eastAsia="微软雅黑" w:hAnsi="微软雅黑" w:cs="微软雅黑"/>
                <w:sz w:val="18"/>
                <w:szCs w:val="18"/>
              </w:rPr>
              <w:t xml:space="preserve">0</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注：1.需提供协议作为证明材料，协议仅需提供首页、合作关系证明及签署页，所有提供文件需加盖本单位公章。</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2.在成都稳定运营的国际（地区）定期全货（及客改货）航线的航司见附件5;</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 xml:space="preserve">2021年全球航空货运量前30名货运代理人（《Transport Topics》排名数据），见附件6;</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 xml:space="preserve">2020年中国国际货代物流空运业务总收入前30名企业（CIFA排名数据），见附件7。</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sz w:val="18"/>
                <w:szCs w:val="18"/>
              </w:rPr>
              <w:t xml:space="preserve">3.</w:t>
            </w:r>
            <w:r>
              <w:rPr>
                <w:rFonts w:ascii="微软雅黑" w:eastAsia="微软雅黑" w:hAnsi="微软雅黑" w:cs="微软雅黑" w:hint="eastAsia"/>
                <w:sz w:val="18"/>
                <w:szCs w:val="18"/>
              </w:rPr>
              <w:t xml:space="preserve">协议</w:t>
            </w:r>
            <w:r>
              <w:rPr>
                <w:rFonts w:ascii="微软雅黑" w:eastAsia="微软雅黑" w:hAnsi="微软雅黑" w:cs="微软雅黑"/>
                <w:sz w:val="18"/>
                <w:szCs w:val="18"/>
              </w:rPr>
              <w:t xml:space="preserve">对象为附件</w:t>
            </w:r>
            <w:r>
              <w:rPr>
                <w:rFonts w:ascii="微软雅黑" w:eastAsia="微软雅黑" w:hAnsi="微软雅黑" w:cs="微软雅黑" w:hint="eastAsia"/>
                <w:sz w:val="18"/>
                <w:szCs w:val="18"/>
              </w:rPr>
              <w:t xml:space="preserve">5、6、7所</w:t>
            </w:r>
            <w:r>
              <w:rPr>
                <w:rFonts w:ascii="微软雅黑" w:eastAsia="微软雅黑" w:hAnsi="微软雅黑" w:cs="微软雅黑"/>
                <w:sz w:val="18"/>
                <w:szCs w:val="18"/>
              </w:rPr>
              <w:t xml:space="preserve">列公司的</w:t>
            </w:r>
            <w:r>
              <w:rPr>
                <w:rFonts w:ascii="微软雅黑" w:eastAsia="微软雅黑" w:hAnsi="微软雅黑" w:cs="微软雅黑" w:hint="eastAsia"/>
                <w:sz w:val="18"/>
                <w:szCs w:val="18"/>
              </w:rPr>
              <w:t xml:space="preserve">总</w:t>
            </w:r>
            <w:r>
              <w:rPr>
                <w:rFonts w:ascii="微软雅黑" w:eastAsia="微软雅黑" w:hAnsi="微软雅黑" w:cs="微软雅黑"/>
                <w:sz w:val="18"/>
                <w:szCs w:val="18"/>
              </w:rPr>
              <w:t xml:space="preserve">部或</w:t>
            </w:r>
            <w:r>
              <w:rPr>
                <w:rFonts w:ascii="微软雅黑" w:eastAsia="微软雅黑" w:hAnsi="微软雅黑" w:cs="微软雅黑" w:hint="eastAsia"/>
                <w:sz w:val="18"/>
                <w:szCs w:val="18"/>
              </w:rPr>
              <w:t xml:space="preserve">驻华</w:t>
            </w:r>
            <w:r>
              <w:rPr>
                <w:rFonts w:ascii="微软雅黑" w:eastAsia="微软雅黑" w:hAnsi="微软雅黑" w:cs="微软雅黑"/>
                <w:sz w:val="18"/>
                <w:szCs w:val="18"/>
              </w:rPr>
              <w:t xml:space="preserve">分子公司</w:t>
            </w:r>
            <w:r>
              <w:rPr>
                <w:rFonts w:ascii="微软雅黑" w:eastAsia="微软雅黑" w:hAnsi="微软雅黑" w:cs="微软雅黑" w:hint="eastAsia"/>
                <w:sz w:val="18"/>
                <w:szCs w:val="18"/>
              </w:rPr>
              <w:t xml:space="preserve">均</w:t>
            </w:r>
            <w:r>
              <w:rPr>
                <w:rFonts w:ascii="微软雅黑" w:eastAsia="微软雅黑" w:hAnsi="微软雅黑" w:cs="微软雅黑"/>
                <w:sz w:val="18"/>
                <w:szCs w:val="18"/>
              </w:rPr>
              <w:t xml:space="preserve">可得分。</w:t>
            </w:r>
            <w:r>
              <w:rPr>
                <w:rFonts w:ascii="微软雅黑" w:eastAsia="微软雅黑" w:hAnsi="微软雅黑" w:cs="微软雅黑" w:hint="eastAsia"/>
                <w:sz w:val="18"/>
                <w:szCs w:val="18"/>
              </w:rPr>
              <w:t xml:space="preserve">如</w:t>
            </w:r>
            <w:r>
              <w:rPr>
                <w:rFonts w:ascii="微软雅黑" w:eastAsia="微软雅黑" w:hAnsi="微软雅黑" w:cs="微软雅黑"/>
                <w:sz w:val="18"/>
                <w:szCs w:val="18"/>
              </w:rPr>
              <w:t xml:space="preserve">该分子公司与母公司名称无关联，则需提供其</w:t>
            </w:r>
            <w:r>
              <w:rPr>
                <w:rFonts w:ascii="微软雅黑" w:eastAsia="微软雅黑" w:hAnsi="微软雅黑" w:cs="微软雅黑" w:hint="eastAsia"/>
                <w:sz w:val="18"/>
                <w:szCs w:val="18"/>
              </w:rPr>
              <w:t xml:space="preserve">与</w:t>
            </w:r>
            <w:r>
              <w:rPr>
                <w:rFonts w:ascii="微软雅黑" w:eastAsia="微软雅黑" w:hAnsi="微软雅黑" w:cs="微软雅黑"/>
                <w:sz w:val="18"/>
                <w:szCs w:val="18"/>
              </w:rPr>
              <w:t xml:space="preserve">母公司关系证明。</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30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品牌影响力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获得质量管理体系认证、行业协会认证或国家重大项目运营情况等能够反映投资人品牌影响力的因素</w:t>
            </w:r>
            <w:r>
              <w:rPr>
                <w:rFonts w:ascii="微软雅黑" w:eastAsia="微软雅黑" w:hAnsi="微软雅黑" w:cs="微软雅黑" w:hint="eastAsia"/>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一般，得1-2分；良好，得3-4分；优秀，得5分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r>
    </w:tbl>
    <w:p>
      <w:pPr>
        <w:widowControl w:val="true"/>
        <w:spacing/>
        <w:jc w:val="left"/>
        <w:rPr>
          <w:rFonts w:ascii="微软雅黑" w:eastAsia="微软雅黑" w:hAnsi="微软雅黑" w:cs="微软雅黑" w:hint="eastAsia"/>
          <w:b/>
          <w:bCs/>
          <w:sz w:val="18"/>
          <w:szCs w:val="18"/>
        </w:rPr>
      </w:pPr>
    </w:p>
    <w:p>
      <w:pPr>
        <w:widowControl w:val="true"/>
        <w:spacing/>
        <w:jc w:val="left"/>
        <w:rPr>
          <w:rFonts w:ascii="黑体" w:eastAsia="黑体" w:hAnsi="黑体" w:cs="黑体" w:hint="eastAsia"/>
          <w:b/>
          <w:bCs/>
          <w:sz w:val="32"/>
          <w:szCs w:val="32"/>
        </w:rPr>
      </w:pPr>
      <w:r>
        <w:rPr>
          <w:rFonts w:ascii="黑体" w:eastAsia="黑体" w:hAnsi="黑体" w:cs="黑体" w:hint="eastAsia"/>
          <w:b/>
          <w:bCs/>
          <w:sz w:val="32"/>
          <w:szCs w:val="32"/>
        </w:rPr>
        <w:t xml:space="preserve">（二）技术评分(</w:t>
      </w:r>
      <w:r>
        <w:rPr>
          <w:rFonts w:ascii="黑体" w:eastAsia="黑体" w:hAnsi="黑体" w:cs="黑体"/>
          <w:b/>
          <w:bCs/>
          <w:sz w:val="32"/>
          <w:szCs w:val="32"/>
        </w:rPr>
        <w:t xml:space="preserve">S2</w:t>
      </w:r>
      <w:r>
        <w:rPr>
          <w:rFonts w:ascii="黑体" w:eastAsia="黑体" w:hAnsi="黑体" w:cs="黑体" w:hint="eastAsia"/>
          <w:b/>
          <w:bCs/>
          <w:sz w:val="32"/>
          <w:szCs w:val="32"/>
        </w:rPr>
        <w:t xml:space="preserve">)：45分，技术评分考虑下列因素：</w:t>
      </w:r>
    </w:p>
    <w:tbl>
      <w:tblPr>
        <w:tblStyle w:val="2"/>
        <w:tblLook w:val="04A0" w:firstRow="1" w:lastRow="0" w:firstColumn="1" w:lastColumn="0" w:noHBand="0" w:noVBand="1"/>
        <w:tblCaption w:val=""/>
        <w:tblDescription w:val=""/>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
      <w:tblGrid>
        <w:gridCol w:w="704"/>
        <w:gridCol w:w="1418"/>
        <w:gridCol w:w="5528"/>
        <w:gridCol w:w="646"/>
      </w:tblGrid>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序号</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评分因素</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评分标准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满分得分</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风险防范能力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1.公司全年物流</w:t>
            </w:r>
            <w:r>
              <w:rPr>
                <w:rFonts w:ascii="微软雅黑" w:eastAsia="微软雅黑" w:hAnsi="微软雅黑" w:cs="微软雅黑"/>
                <w:sz w:val="18"/>
                <w:szCs w:val="18"/>
              </w:rPr>
              <w:t xml:space="preserve">责任险（或</w:t>
            </w:r>
            <w:r>
              <w:rPr>
                <w:rFonts w:ascii="微软雅黑" w:eastAsia="微软雅黑" w:hAnsi="微软雅黑" w:cs="微软雅黑" w:hint="eastAsia"/>
                <w:sz w:val="18"/>
                <w:szCs w:val="18"/>
              </w:rPr>
              <w:t xml:space="preserve">货物</w:t>
            </w:r>
            <w:r>
              <w:rPr>
                <w:rFonts w:ascii="微软雅黑" w:eastAsia="微软雅黑" w:hAnsi="微软雅黑" w:cs="微软雅黑"/>
                <w:sz w:val="18"/>
                <w:szCs w:val="18"/>
              </w:rPr>
              <w:t xml:space="preserve">运输险</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综合险）</w:t>
            </w:r>
            <w:r>
              <w:rPr>
                <w:rFonts w:ascii="微软雅黑" w:eastAsia="微软雅黑" w:hAnsi="微软雅黑" w:cs="微软雅黑" w:hint="eastAsia"/>
                <w:sz w:val="18"/>
                <w:szCs w:val="18"/>
              </w:rPr>
              <w:t xml:space="preserve">单次赔偿</w:t>
            </w:r>
            <w:r>
              <w:rPr>
                <w:rFonts w:ascii="微软雅黑" w:eastAsia="微软雅黑" w:hAnsi="微软雅黑" w:cs="微软雅黑"/>
                <w:sz w:val="18"/>
                <w:szCs w:val="18"/>
              </w:rPr>
              <w:t xml:space="preserve">限额</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 </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100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-200万元（不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1</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200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-300万元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300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-400万元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3</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sz w:val="18"/>
                <w:szCs w:val="18"/>
              </w:rPr>
              <w:t xml:space="preserve">400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-500万元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4</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500万元及以上，</w:t>
            </w:r>
            <w:r>
              <w:rPr>
                <w:rFonts w:ascii="微软雅黑" w:eastAsia="微软雅黑" w:hAnsi="微软雅黑" w:cs="微软雅黑"/>
                <w:sz w:val="18"/>
                <w:szCs w:val="18"/>
              </w:rPr>
              <w:t xml:space="preserve">5</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hint="eastAsia"/>
                <w:sz w:val="18"/>
                <w:szCs w:val="18"/>
              </w:rPr>
            </w:pP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2.公司</w:t>
            </w:r>
            <w:r>
              <w:rPr>
                <w:rFonts w:ascii="微软雅黑" w:eastAsia="微软雅黑" w:hAnsi="微软雅黑" w:cs="微软雅黑"/>
                <w:sz w:val="18"/>
                <w:szCs w:val="18"/>
              </w:rPr>
              <w:t xml:space="preserve">全年</w:t>
            </w:r>
            <w:r>
              <w:rPr>
                <w:rFonts w:ascii="微软雅黑" w:eastAsia="微软雅黑" w:hAnsi="微软雅黑" w:cs="微软雅黑" w:hint="eastAsia"/>
                <w:sz w:val="18"/>
                <w:szCs w:val="18"/>
              </w:rPr>
              <w:t xml:space="preserve">累计物流</w:t>
            </w:r>
            <w:r>
              <w:rPr>
                <w:rFonts w:ascii="微软雅黑" w:eastAsia="微软雅黑" w:hAnsi="微软雅黑" w:cs="微软雅黑"/>
                <w:sz w:val="18"/>
                <w:szCs w:val="18"/>
              </w:rPr>
              <w:t xml:space="preserve">责任险（或</w:t>
            </w:r>
            <w:r>
              <w:rPr>
                <w:rFonts w:ascii="微软雅黑" w:eastAsia="微软雅黑" w:hAnsi="微软雅黑" w:cs="微软雅黑" w:hint="eastAsia"/>
                <w:sz w:val="18"/>
                <w:szCs w:val="18"/>
              </w:rPr>
              <w:t xml:space="preserve">货物</w:t>
            </w:r>
            <w:r>
              <w:rPr>
                <w:rFonts w:ascii="微软雅黑" w:eastAsia="微软雅黑" w:hAnsi="微软雅黑" w:cs="微软雅黑"/>
                <w:sz w:val="18"/>
                <w:szCs w:val="18"/>
              </w:rPr>
              <w:t xml:space="preserve">运输险</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综合险）</w:t>
            </w:r>
            <w:r>
              <w:rPr>
                <w:rFonts w:ascii="微软雅黑" w:eastAsia="微软雅黑" w:hAnsi="微软雅黑" w:cs="微软雅黑" w:hint="eastAsia"/>
                <w:sz w:val="18"/>
                <w:szCs w:val="18"/>
              </w:rPr>
              <w:t xml:space="preserve">赔偿限额</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3000万元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-8000万元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1</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8000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-1.3亿</w:t>
            </w:r>
            <w:r>
              <w:rPr>
                <w:rFonts w:ascii="微软雅黑" w:eastAsia="微软雅黑" w:hAnsi="微软雅黑" w:cs="微软雅黑"/>
                <w:sz w:val="18"/>
                <w:szCs w:val="18"/>
              </w:rPr>
              <w:t xml:space="preserve">元</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1.3</w:t>
            </w:r>
            <w:r>
              <w:rPr>
                <w:rFonts w:ascii="微软雅黑" w:eastAsia="微软雅黑" w:hAnsi="微软雅黑" w:cs="微软雅黑" w:hint="eastAsia"/>
                <w:sz w:val="18"/>
                <w:szCs w:val="18"/>
              </w:rPr>
              <w:t xml:space="preserve">亿元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-1.8亿</w:t>
            </w:r>
            <w:r>
              <w:rPr>
                <w:rFonts w:ascii="微软雅黑" w:eastAsia="微软雅黑" w:hAnsi="微软雅黑" w:cs="微软雅黑"/>
                <w:sz w:val="18"/>
                <w:szCs w:val="18"/>
              </w:rPr>
              <w:t xml:space="preserve">元（</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3</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1.8</w:t>
            </w:r>
            <w:r>
              <w:rPr>
                <w:rFonts w:ascii="微软雅黑" w:eastAsia="微软雅黑" w:hAnsi="微软雅黑" w:cs="微软雅黑" w:hint="eastAsia"/>
                <w:sz w:val="18"/>
                <w:szCs w:val="18"/>
              </w:rPr>
              <w:t xml:space="preserve">亿元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2.3</w:t>
            </w:r>
            <w:r>
              <w:rPr>
                <w:rFonts w:ascii="微软雅黑" w:eastAsia="微软雅黑" w:hAnsi="微软雅黑" w:cs="微软雅黑" w:hint="eastAsia"/>
                <w:sz w:val="18"/>
                <w:szCs w:val="18"/>
              </w:rPr>
              <w:t xml:space="preserve">亿元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，4分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2.3</w:t>
            </w:r>
            <w:r>
              <w:rPr>
                <w:rFonts w:ascii="微软雅黑" w:eastAsia="微软雅黑" w:hAnsi="微软雅黑" w:cs="微软雅黑" w:hint="eastAsia"/>
                <w:sz w:val="18"/>
                <w:szCs w:val="18"/>
              </w:rPr>
              <w:t xml:space="preserve">亿</w:t>
            </w:r>
            <w:r>
              <w:rPr>
                <w:rFonts w:ascii="微软雅黑" w:eastAsia="微软雅黑" w:hAnsi="微软雅黑" w:cs="微软雅黑"/>
                <w:sz w:val="18"/>
                <w:szCs w:val="18"/>
              </w:rPr>
              <w:t xml:space="preserve">元</w:t>
            </w:r>
            <w:r>
              <w:rPr>
                <w:rFonts w:ascii="微软雅黑" w:eastAsia="微软雅黑" w:hAnsi="微软雅黑" w:cs="微软雅黑" w:hint="eastAsia"/>
                <w:sz w:val="18"/>
                <w:szCs w:val="18"/>
              </w:rPr>
              <w:t xml:space="preserve">及</w:t>
            </w:r>
            <w:r>
              <w:rPr>
                <w:rFonts w:ascii="微软雅黑" w:eastAsia="微软雅黑" w:hAnsi="微软雅黑" w:cs="微软雅黑"/>
                <w:sz w:val="18"/>
                <w:szCs w:val="18"/>
              </w:rPr>
              <w:t xml:space="preserve">以上，</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hint="eastAsia"/>
                <w:sz w:val="18"/>
                <w:szCs w:val="18"/>
              </w:rPr>
            </w:pP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注</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公司全年物流</w:t>
            </w:r>
            <w:r>
              <w:rPr>
                <w:rFonts w:ascii="微软雅黑" w:eastAsia="微软雅黑" w:hAnsi="微软雅黑" w:cs="微软雅黑"/>
                <w:sz w:val="18"/>
                <w:szCs w:val="18"/>
              </w:rPr>
              <w:t xml:space="preserve">责任险（或</w:t>
            </w:r>
            <w:r>
              <w:rPr>
                <w:rFonts w:ascii="微软雅黑" w:eastAsia="微软雅黑" w:hAnsi="微软雅黑" w:cs="微软雅黑" w:hint="eastAsia"/>
                <w:sz w:val="18"/>
                <w:szCs w:val="18"/>
              </w:rPr>
              <w:t xml:space="preserve">货物</w:t>
            </w:r>
            <w:r>
              <w:rPr>
                <w:rFonts w:ascii="微软雅黑" w:eastAsia="微软雅黑" w:hAnsi="微软雅黑" w:cs="微软雅黑"/>
                <w:sz w:val="18"/>
                <w:szCs w:val="18"/>
              </w:rPr>
              <w:t xml:space="preserve">运输险</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综合险）</w:t>
            </w:r>
            <w:r>
              <w:rPr>
                <w:rFonts w:ascii="微软雅黑" w:eastAsia="微软雅黑" w:hAnsi="微软雅黑" w:cs="微软雅黑" w:hint="eastAsia"/>
                <w:sz w:val="18"/>
                <w:szCs w:val="18"/>
              </w:rPr>
              <w:t xml:space="preserve">单次赔偿</w:t>
            </w:r>
            <w:r>
              <w:rPr>
                <w:rFonts w:ascii="微软雅黑" w:eastAsia="微软雅黑" w:hAnsi="微软雅黑" w:cs="微软雅黑"/>
                <w:sz w:val="18"/>
                <w:szCs w:val="18"/>
              </w:rPr>
              <w:t xml:space="preserve">限额</w:t>
            </w:r>
            <w:r>
              <w:rPr>
                <w:rFonts w:ascii="微软雅黑" w:eastAsia="微软雅黑" w:hAnsi="微软雅黑" w:cs="微软雅黑" w:hint="eastAsia"/>
                <w:sz w:val="18"/>
                <w:szCs w:val="18"/>
              </w:rPr>
              <w:t xml:space="preserve">该</w:t>
            </w:r>
            <w:r>
              <w:rPr>
                <w:rFonts w:ascii="微软雅黑" w:eastAsia="微软雅黑" w:hAnsi="微软雅黑" w:cs="微软雅黑"/>
                <w:sz w:val="18"/>
                <w:szCs w:val="18"/>
              </w:rPr>
              <w:t xml:space="preserve">保险不</w:t>
            </w:r>
            <w:r>
              <w:rPr>
                <w:rFonts w:ascii="微软雅黑" w:eastAsia="微软雅黑" w:hAnsi="微软雅黑" w:cs="微软雅黑" w:hint="eastAsia"/>
                <w:sz w:val="18"/>
                <w:szCs w:val="18"/>
              </w:rPr>
              <w:t xml:space="preserve">是</w:t>
            </w:r>
            <w:r>
              <w:rPr>
                <w:rFonts w:ascii="微软雅黑" w:eastAsia="微软雅黑" w:hAnsi="微软雅黑" w:cs="微软雅黑"/>
                <w:sz w:val="18"/>
                <w:szCs w:val="18"/>
              </w:rPr>
              <w:t xml:space="preserve">针对</w:t>
            </w:r>
            <w:r>
              <w:rPr>
                <w:rFonts w:ascii="微软雅黑" w:eastAsia="微软雅黑" w:hAnsi="微软雅黑" w:cs="微软雅黑" w:hint="eastAsia"/>
                <w:sz w:val="18"/>
                <w:szCs w:val="18"/>
              </w:rPr>
              <w:t xml:space="preserve">某</w:t>
            </w:r>
            <w:r>
              <w:rPr>
                <w:rFonts w:ascii="微软雅黑" w:eastAsia="微软雅黑" w:hAnsi="微软雅黑" w:cs="微软雅黑"/>
                <w:sz w:val="18"/>
                <w:szCs w:val="18"/>
              </w:rPr>
              <w:t xml:space="preserve">一次具体运输任务</w:t>
            </w:r>
            <w:r>
              <w:rPr>
                <w:rFonts w:ascii="微软雅黑" w:eastAsia="微软雅黑" w:hAnsi="微软雅黑" w:cs="微软雅黑" w:hint="eastAsia"/>
                <w:sz w:val="18"/>
                <w:szCs w:val="18"/>
              </w:rPr>
              <w:t xml:space="preserve">的</w:t>
            </w:r>
            <w:r>
              <w:rPr>
                <w:rFonts w:ascii="微软雅黑" w:eastAsia="微软雅黑" w:hAnsi="微软雅黑" w:cs="微软雅黑"/>
                <w:sz w:val="18"/>
                <w:szCs w:val="18"/>
              </w:rPr>
              <w:t xml:space="preserve">单次保险</w:t>
            </w:r>
            <w:r>
              <w:rPr>
                <w:rFonts w:ascii="微软雅黑" w:eastAsia="微软雅黑" w:hAnsi="微软雅黑" w:cs="微软雅黑" w:hint="eastAsia"/>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2</w:t>
            </w:r>
            <w:r>
              <w:rPr>
                <w:rFonts w:ascii="微软雅黑" w:eastAsia="微软雅黑" w:hAnsi="微软雅黑" w:cs="微软雅黑"/>
                <w:sz w:val="18"/>
                <w:szCs w:val="18"/>
              </w:rPr>
              <w:t xml:space="preserve">.需提供物流责任险或货物运输险</w:t>
            </w:r>
            <w:r>
              <w:rPr>
                <w:rFonts w:ascii="微软雅黑" w:eastAsia="微软雅黑" w:hAnsi="微软雅黑" w:cs="微软雅黑" w:hint="eastAsia"/>
                <w:sz w:val="18"/>
                <w:szCs w:val="18"/>
              </w:rPr>
              <w:t xml:space="preserve">有</w:t>
            </w:r>
            <w:r>
              <w:rPr>
                <w:rFonts w:ascii="微软雅黑" w:eastAsia="微软雅黑" w:hAnsi="微软雅黑" w:cs="微软雅黑"/>
                <w:sz w:val="18"/>
                <w:szCs w:val="18"/>
              </w:rPr>
              <w:t xml:space="preserve">效保单</w:t>
            </w:r>
            <w:r>
              <w:rPr>
                <w:rFonts w:ascii="微软雅黑" w:eastAsia="微软雅黑" w:hAnsi="微软雅黑" w:cs="微软雅黑" w:hint="eastAsia"/>
                <w:sz w:val="18"/>
                <w:szCs w:val="18"/>
              </w:rPr>
              <w:t xml:space="preserve">进行</w:t>
            </w:r>
            <w:r>
              <w:rPr>
                <w:rFonts w:ascii="微软雅黑" w:eastAsia="微软雅黑" w:hAnsi="微软雅黑" w:cs="微软雅黑"/>
                <w:sz w:val="18"/>
                <w:szCs w:val="18"/>
              </w:rPr>
              <w:t xml:space="preserve">证明</w:t>
            </w:r>
            <w:r>
              <w:rPr>
                <w:rFonts w:ascii="微软雅黑" w:eastAsia="微软雅黑" w:hAnsi="微软雅黑" w:cs="微软雅黑" w:hint="eastAsia"/>
                <w:sz w:val="18"/>
                <w:szCs w:val="18"/>
              </w:rPr>
              <w:t xml:space="preserve">。</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10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2</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物流系统建设完善程度及配合成都空公联运政策的服务方案</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有健全的物流信息管理系统（</w:t>
            </w:r>
            <w:r>
              <w:rPr>
                <w:rFonts w:ascii="微软雅黑" w:eastAsia="微软雅黑" w:hAnsi="微软雅黑" w:cs="微软雅黑" w:hint="eastAsia"/>
                <w:sz w:val="18"/>
                <w:szCs w:val="20"/>
              </w:rPr>
              <w:t xml:space="preserve">需具备服务航空物流完整的数智化信息系统，包括但不限于订单系统、运输管理系统、仓储操作系统、报文系统等，信息系统可实现对外开放并对接）</w:t>
            </w:r>
            <w:r>
              <w:rPr>
                <w:rFonts w:ascii="微软雅黑" w:eastAsia="微软雅黑" w:hAnsi="微软雅黑" w:cs="微软雅黑" w:hint="eastAsia"/>
                <w:sz w:val="18"/>
                <w:szCs w:val="18"/>
              </w:rPr>
              <w:t xml:space="preserve">，可实现物流信息的事前报送、事中监控（对货物地面段承运过程中的全程追踪），事后回溯可查。实现地面段承运信息与空运段货物信息（航空运单、航班号、执飞日期）的对应关系。</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方案由评审组进行综合评议，优得</w:t>
            </w:r>
            <w:r>
              <w:rPr>
                <w:rFonts w:ascii="微软雅黑" w:eastAsia="微软雅黑" w:hAnsi="微软雅黑" w:cs="微软雅黑"/>
                <w:sz w:val="18"/>
                <w:szCs w:val="18"/>
              </w:rPr>
              <w:t xml:space="preserve">16</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20</w:t>
            </w:r>
            <w:r>
              <w:rPr>
                <w:rFonts w:ascii="微软雅黑" w:eastAsia="微软雅黑" w:hAnsi="微软雅黑" w:cs="微软雅黑" w:hint="eastAsia"/>
                <w:sz w:val="18"/>
                <w:szCs w:val="18"/>
              </w:rPr>
              <w:t xml:space="preserve">分，良得</w:t>
            </w:r>
            <w:r>
              <w:rPr>
                <w:rFonts w:ascii="微软雅黑" w:eastAsia="微软雅黑" w:hAnsi="微软雅黑" w:cs="微软雅黑"/>
                <w:sz w:val="18"/>
                <w:szCs w:val="18"/>
              </w:rPr>
              <w:t xml:space="preserve">11</w:t>
            </w:r>
            <w:r>
              <w:rPr>
                <w:rFonts w:ascii="微软雅黑" w:eastAsia="微软雅黑" w:hAnsi="微软雅黑" w:cs="微软雅黑" w:hint="eastAsia"/>
                <w:sz w:val="18"/>
                <w:szCs w:val="18"/>
              </w:rPr>
              <w:t xml:space="preserve">-15分，中</w:t>
            </w:r>
            <w:r>
              <w:rPr>
                <w:rFonts w:ascii="微软雅黑" w:eastAsia="微软雅黑" w:hAnsi="微软雅黑" w:cs="微软雅黑"/>
                <w:sz w:val="18"/>
                <w:szCs w:val="18"/>
              </w:rPr>
              <w:t xml:space="preserve">得</w:t>
            </w:r>
            <w:r>
              <w:rPr>
                <w:rFonts w:ascii="微软雅黑" w:eastAsia="微软雅黑" w:hAnsi="微软雅黑" w:cs="微软雅黑" w:hint="eastAsia"/>
                <w:sz w:val="18"/>
                <w:szCs w:val="18"/>
              </w:rPr>
              <w:t xml:space="preserve">6-10分</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一般得1-5分。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20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3</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运营保障能力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tcPr>
          <w:p>
            <w:pPr>
              <w:widowControl w:val="true"/>
              <w:spacing w:line="300" w:lineRule="exact"/>
              <w:contextual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针对本项需提供完整的服务航空物流全国运营服务能力，包括但不限于车辆、网络及仓储面积等：</w:t>
            </w:r>
          </w:p>
          <w:p>
            <w:pPr>
              <w:pStyle w:val="4"/>
              <w:widowControl w:val="true"/>
              <w:numPr>
                <w:ilvl w:val="0"/>
                <w:numId w:val="8"/>
              </w:numPr>
              <w:spacing w:line="300" w:lineRule="exact"/>
              <w:ind w:firstLineChars="0"/>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车辆规模（5分）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自有车辆20台（含）-50台（不含），或总载重量100吨（含）-250吨（不含），得1分；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自有车辆50台（含）-100台（不含），或总载重量250吨（含）-500吨（不含）得3分；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自有车辆100台以上（含），或总载重量500吨以上（含）得5分。</w:t>
            </w:r>
          </w:p>
          <w:p>
            <w:pPr>
              <w:pStyle w:val="4"/>
              <w:widowControl w:val="true"/>
              <w:numPr>
                <w:ilvl w:val="0"/>
                <w:numId w:val="8"/>
              </w:numPr>
              <w:spacing w:line="300" w:lineRule="exact"/>
              <w:ind w:firstLineChars="0"/>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网络规模（5分）</w:t>
            </w:r>
          </w:p>
          <w:p>
            <w:pPr>
              <w:widowControl w:val="true"/>
              <w:spacing w:line="300" w:lineRule="exact"/>
              <w:contextual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全国可做揽货区域网络规模，北京、上海、广州、深圳一个城市得1分，其余城市每个得0.5分，最多得5分；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3. 仓库</w:t>
            </w:r>
            <w:r>
              <w:rPr>
                <w:rFonts w:ascii="微软雅黑" w:eastAsia="微软雅黑" w:hAnsi="微软雅黑" w:cs="微软雅黑"/>
                <w:sz w:val="18"/>
                <w:szCs w:val="18"/>
              </w:rPr>
              <w:t xml:space="preserve">面积（</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在成都仓库面积</w:t>
            </w:r>
            <w:r>
              <w:rPr>
                <w:rFonts w:ascii="微软雅黑" w:eastAsia="微软雅黑" w:hAnsi="微软雅黑" w:cs="微软雅黑"/>
                <w:sz w:val="18"/>
                <w:szCs w:val="18"/>
              </w:rPr>
              <w:t xml:space="preserve">不低于</w:t>
            </w:r>
            <w:r>
              <w:rPr>
                <w:rFonts w:ascii="微软雅黑" w:eastAsia="微软雅黑" w:hAnsi="微软雅黑" w:cs="微软雅黑" w:hint="eastAsia"/>
                <w:sz w:val="18"/>
                <w:szCs w:val="18"/>
              </w:rPr>
              <w:t xml:space="preserve">1000</w:t>
            </w:r>
            <w:r>
              <w:rPr>
                <w:rFonts w:ascii="Meiryo" w:eastAsia="Meiryo" w:hAnsi="Meiryo" w:cs="Meiryo" w:hint="eastAsia"/>
                <w:sz w:val="18"/>
                <w:szCs w:val="18"/>
              </w:rPr>
              <w:t xml:space="preserve">㎡</w:t>
            </w:r>
            <w:r>
              <w:rPr>
                <w:rFonts w:ascii="Meiryo" w:eastAsia="等线" w:hAnsi="Meiryo" w:cs="Meiryo" w:hint="eastAsia"/>
                <w:sz w:val="18"/>
                <w:szCs w:val="18"/>
              </w:rPr>
              <w:t xml:space="preserve">（</w:t>
            </w:r>
            <w:r>
              <w:rPr>
                <w:rFonts w:ascii="微软雅黑" w:eastAsia="微软雅黑" w:hAnsi="微软雅黑" w:cs="Meiryo" w:hint="eastAsia"/>
                <w:sz w:val="18"/>
                <w:szCs w:val="18"/>
              </w:rPr>
              <w:t xml:space="preserve">成都</w:t>
            </w:r>
            <w:r>
              <w:rPr>
                <w:rFonts w:ascii="微软雅黑" w:eastAsia="微软雅黑" w:hAnsi="微软雅黑" w:cs="Meiryo"/>
                <w:sz w:val="18"/>
                <w:szCs w:val="18"/>
              </w:rPr>
              <w:t xml:space="preserve">仓库面积如</w:t>
            </w:r>
            <w:r>
              <w:rPr>
                <w:rFonts w:ascii="微软雅黑" w:eastAsia="微软雅黑" w:hAnsi="微软雅黑" w:cs="微软雅黑"/>
                <w:sz w:val="18"/>
                <w:szCs w:val="18"/>
              </w:rPr>
              <w:t xml:space="preserve">低于</w:t>
            </w:r>
            <w:r>
              <w:rPr>
                <w:rFonts w:ascii="微软雅黑" w:eastAsia="微软雅黑" w:hAnsi="微软雅黑" w:cs="微软雅黑" w:hint="eastAsia"/>
                <w:sz w:val="18"/>
                <w:szCs w:val="18"/>
              </w:rPr>
              <w:t xml:space="preserve">1000</w:t>
            </w:r>
            <w:r>
              <w:rPr>
                <w:rFonts w:ascii="Meiryo" w:eastAsia="Meiryo" w:hAnsi="Meiryo" w:cs="Meiryo" w:hint="eastAsia"/>
                <w:sz w:val="18"/>
                <w:szCs w:val="18"/>
              </w:rPr>
              <w:t xml:space="preserve">㎡</w:t>
            </w:r>
            <w:r>
              <w:rPr>
                <w:rFonts w:ascii="微软雅黑" w:eastAsia="微软雅黑" w:hAnsi="微软雅黑" w:cs="Meiryo" w:hint="eastAsia"/>
                <w:sz w:val="18"/>
                <w:szCs w:val="18"/>
              </w:rPr>
              <w:t xml:space="preserve">，则</w:t>
            </w:r>
            <w:r>
              <w:rPr>
                <w:rFonts w:ascii="微软雅黑" w:eastAsia="微软雅黑" w:hAnsi="微软雅黑" w:cs="Meiryo"/>
                <w:sz w:val="18"/>
                <w:szCs w:val="18"/>
              </w:rPr>
              <w:t xml:space="preserve">本项目</w:t>
            </w:r>
            <w:r>
              <w:rPr>
                <w:rFonts w:ascii="微软雅黑" w:eastAsia="微软雅黑" w:hAnsi="微软雅黑" w:cs="Meiryo" w:hint="eastAsia"/>
                <w:sz w:val="18"/>
                <w:szCs w:val="18"/>
              </w:rPr>
              <w:t xml:space="preserve">不</w:t>
            </w:r>
            <w:r>
              <w:rPr>
                <w:rFonts w:ascii="微软雅黑" w:eastAsia="微软雅黑" w:hAnsi="微软雅黑" w:cs="Meiryo"/>
                <w:sz w:val="18"/>
                <w:szCs w:val="18"/>
              </w:rPr>
              <w:t xml:space="preserve">得分）</w:t>
            </w:r>
            <w:r>
              <w:rPr>
                <w:rFonts w:ascii="微软雅黑" w:eastAsia="微软雅黑" w:hAnsi="微软雅黑" w:cs="微软雅黑" w:hint="eastAsia"/>
                <w:sz w:val="18"/>
                <w:szCs w:val="18"/>
              </w:rPr>
              <w:t xml:space="preserve">，且全国拥有集收仓储操作总面积不低于</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w:t>
            </w:r>
            <w:r>
              <w:rPr>
                <w:rFonts w:ascii="微软雅黑" w:eastAsia="微软雅黑" w:hAnsi="微软雅黑" w:cs="微软雅黑" w:hint="eastAsia"/>
                <w:sz w:val="18"/>
                <w:szCs w:val="18"/>
              </w:rPr>
              <w:t xml:space="preserve">5分）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总面积2000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hint="eastAsia"/>
                <w:sz w:val="18"/>
                <w:szCs w:val="18"/>
              </w:rPr>
              <w:t xml:space="preserve">-5000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w:t>
            </w:r>
            <w:r>
              <w:rPr>
                <w:rFonts w:ascii="微软雅黑" w:eastAsia="微软雅黑" w:hAnsi="微软雅黑" w:cs="微软雅黑" w:hint="eastAsia"/>
                <w:sz w:val="18"/>
                <w:szCs w:val="18"/>
              </w:rPr>
              <w:t xml:space="preserve">1分；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总面积5000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hint="eastAsia"/>
                <w:sz w:val="18"/>
                <w:szCs w:val="18"/>
              </w:rPr>
              <w:t xml:space="preserve">-10000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w:t>
            </w:r>
            <w:r>
              <w:rPr>
                <w:rFonts w:ascii="微软雅黑" w:eastAsia="微软雅黑" w:hAnsi="微软雅黑" w:cs="微软雅黑" w:hint="eastAsia"/>
                <w:sz w:val="18"/>
                <w:szCs w:val="18"/>
              </w:rPr>
              <w:t xml:space="preserve">2分；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总面积10000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-（含）-20000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（不含），得3分；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总面积20000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-（含）-30000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（不含），得4分；</w:t>
            </w:r>
          </w:p>
          <w:p>
            <w:pPr>
              <w:widowControl w:val="true"/>
              <w:spacing w:line="300" w:lineRule="exact"/>
              <w:contextual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总面积30000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-及以上，得5分。</w:t>
            </w:r>
          </w:p>
          <w:p>
            <w:pPr>
              <w:widowControl w:val="true"/>
              <w:spacing w:line="300" w:lineRule="exact"/>
              <w:contextualSpacing/>
              <w:jc w:val="left"/>
              <w:rPr>
                <w:rFonts w:ascii="微软雅黑" w:eastAsia="微软雅黑" w:hAnsi="微软雅黑" w:cs="微软雅黑"/>
                <w:sz w:val="18"/>
                <w:szCs w:val="18"/>
              </w:rPr>
            </w:pPr>
          </w:p>
          <w:p>
            <w:pPr>
              <w:widowControl w:val="true"/>
              <w:spacing w:line="300" w:lineRule="exact"/>
              <w:contextual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注</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1.自有</w:t>
            </w:r>
            <w:r>
              <w:rPr>
                <w:rFonts w:ascii="微软雅黑" w:eastAsia="微软雅黑" w:hAnsi="微软雅黑" w:cs="微软雅黑"/>
                <w:sz w:val="18"/>
                <w:szCs w:val="18"/>
              </w:rPr>
              <w:t xml:space="preserve">车辆</w:t>
            </w:r>
            <w:r>
              <w:rPr>
                <w:rFonts w:ascii="微软雅黑" w:eastAsia="微软雅黑" w:hAnsi="微软雅黑" w:cs="微软雅黑" w:hint="eastAsia"/>
                <w:sz w:val="18"/>
                <w:szCs w:val="18"/>
              </w:rPr>
              <w:t xml:space="preserve">是</w:t>
            </w:r>
            <w:r>
              <w:rPr>
                <w:rFonts w:ascii="微软雅黑" w:eastAsia="微软雅黑" w:hAnsi="微软雅黑" w:cs="微软雅黑"/>
                <w:sz w:val="18"/>
                <w:szCs w:val="18"/>
              </w:rPr>
              <w:t xml:space="preserve">指车辆行驶证</w:t>
            </w:r>
            <w:r>
              <w:rPr>
                <w:rFonts w:ascii="微软雅黑" w:eastAsia="微软雅黑" w:hAnsi="微软雅黑" w:cs="微软雅黑" w:hint="eastAsia"/>
                <w:sz w:val="18"/>
                <w:szCs w:val="18"/>
              </w:rPr>
              <w:t xml:space="preserve">信息</w:t>
            </w:r>
            <w:r>
              <w:rPr>
                <w:rFonts w:ascii="微软雅黑" w:eastAsia="微软雅黑" w:hAnsi="微软雅黑" w:cs="微软雅黑"/>
                <w:sz w:val="18"/>
                <w:szCs w:val="18"/>
              </w:rPr>
              <w:t xml:space="preserve">中</w:t>
            </w:r>
            <w:r>
              <w:rPr>
                <w:rFonts w:ascii="微软雅黑" w:eastAsia="微软雅黑" w:hAnsi="微软雅黑" w:cs="微软雅黑" w:hint="eastAsia"/>
                <w:sz w:val="18"/>
                <w:szCs w:val="18"/>
              </w:rPr>
              <w:t xml:space="preserve">“所有</w:t>
            </w:r>
            <w:r>
              <w:rPr>
                <w:rFonts w:ascii="微软雅黑" w:eastAsia="微软雅黑" w:hAnsi="微软雅黑" w:cs="微软雅黑"/>
                <w:sz w:val="18"/>
                <w:szCs w:val="18"/>
              </w:rPr>
              <w:t xml:space="preserve">人</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为本公司或</w:t>
            </w:r>
            <w:r>
              <w:rPr>
                <w:rFonts w:ascii="微软雅黑" w:eastAsia="微软雅黑" w:hAnsi="微软雅黑" w:cs="微软雅黑" w:hint="eastAsia"/>
                <w:sz w:val="18"/>
                <w:szCs w:val="18"/>
              </w:rPr>
              <w:t xml:space="preserve">本公司</w:t>
            </w:r>
            <w:r>
              <w:rPr>
                <w:rFonts w:ascii="微软雅黑" w:eastAsia="微软雅黑" w:hAnsi="微软雅黑" w:cs="微软雅黑"/>
                <w:sz w:val="18"/>
                <w:szCs w:val="18"/>
              </w:rPr>
              <w:t xml:space="preserve">分公司。</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在</w:t>
            </w:r>
            <w:r>
              <w:rPr>
                <w:rFonts w:ascii="微软雅黑" w:eastAsia="微软雅黑" w:hAnsi="微软雅黑" w:cs="微软雅黑"/>
                <w:sz w:val="18"/>
                <w:szCs w:val="18"/>
              </w:rPr>
              <w:t xml:space="preserve">某城市</w:t>
            </w:r>
            <w:r>
              <w:rPr>
                <w:rFonts w:ascii="微软雅黑" w:eastAsia="微软雅黑" w:hAnsi="微软雅黑" w:cs="微软雅黑" w:hint="eastAsia"/>
                <w:sz w:val="18"/>
                <w:szCs w:val="18"/>
              </w:rPr>
              <w:t xml:space="preserve">的揽</w:t>
            </w:r>
            <w:r>
              <w:rPr>
                <w:rFonts w:ascii="微软雅黑" w:eastAsia="微软雅黑" w:hAnsi="微软雅黑" w:cs="微软雅黑"/>
                <w:sz w:val="18"/>
                <w:szCs w:val="18"/>
              </w:rPr>
              <w:t xml:space="preserve">货能力证明</w:t>
            </w:r>
            <w:r>
              <w:rPr>
                <w:rFonts w:ascii="微软雅黑" w:eastAsia="微软雅黑" w:hAnsi="微软雅黑" w:cs="微软雅黑" w:hint="eastAsia"/>
                <w:sz w:val="18"/>
                <w:szCs w:val="18"/>
              </w:rPr>
              <w:t xml:space="preserve">文件为</w:t>
            </w:r>
            <w:r>
              <w:rPr>
                <w:rFonts w:ascii="微软雅黑" w:eastAsia="微软雅黑" w:hAnsi="微软雅黑" w:cs="微软雅黑"/>
                <w:sz w:val="18"/>
                <w:szCs w:val="18"/>
              </w:rPr>
              <w:t xml:space="preserve">以下三者</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提供其中</w:t>
            </w:r>
            <w:r>
              <w:rPr>
                <w:rFonts w:ascii="微软雅黑" w:eastAsia="微软雅黑" w:hAnsi="微软雅黑" w:cs="微软雅黑" w:hint="eastAsia"/>
                <w:sz w:val="18"/>
                <w:szCs w:val="18"/>
              </w:rPr>
              <w:t xml:space="preserve">之</w:t>
            </w:r>
            <w:r>
              <w:rPr>
                <w:rFonts w:ascii="微软雅黑" w:eastAsia="微软雅黑" w:hAnsi="微软雅黑" w:cs="微软雅黑"/>
                <w:sz w:val="18"/>
                <w:szCs w:val="18"/>
              </w:rPr>
              <w:t xml:space="preserve">一可得分：</w:t>
            </w:r>
            <w:r>
              <w:rPr>
                <w:rFonts w:ascii="微软雅黑" w:eastAsia="微软雅黑" w:hAnsi="微软雅黑" w:cs="微软雅黑" w:hint="eastAsia"/>
                <w:sz w:val="18"/>
                <w:szCs w:val="18"/>
              </w:rPr>
              <w:t xml:space="preserve">往</w:t>
            </w:r>
            <w:r>
              <w:rPr>
                <w:rFonts w:ascii="微软雅黑" w:eastAsia="微软雅黑" w:hAnsi="微软雅黑" w:cs="微软雅黑"/>
                <w:sz w:val="18"/>
                <w:szCs w:val="18"/>
              </w:rPr>
              <w:t xml:space="preserve">返或</w:t>
            </w:r>
            <w:r>
              <w:rPr>
                <w:rFonts w:ascii="微软雅黑" w:eastAsia="微软雅黑" w:hAnsi="微软雅黑" w:cs="微软雅黑" w:hint="eastAsia"/>
                <w:sz w:val="18"/>
                <w:szCs w:val="18"/>
              </w:rPr>
              <w:t xml:space="preserve">单</w:t>
            </w:r>
            <w:r>
              <w:rPr>
                <w:rFonts w:ascii="微软雅黑" w:eastAsia="微软雅黑" w:hAnsi="微软雅黑" w:cs="微软雅黑"/>
                <w:sz w:val="18"/>
                <w:szCs w:val="18"/>
              </w:rPr>
              <w:t xml:space="preserve">程通往</w:t>
            </w:r>
            <w:r>
              <w:rPr>
                <w:rFonts w:ascii="微软雅黑" w:eastAsia="微软雅黑" w:hAnsi="微软雅黑" w:cs="微软雅黑" w:hint="eastAsia"/>
                <w:sz w:val="18"/>
                <w:szCs w:val="18"/>
              </w:rPr>
              <w:t xml:space="preserve">该城</w:t>
            </w:r>
            <w:r>
              <w:rPr>
                <w:rFonts w:ascii="微软雅黑" w:eastAsia="微软雅黑" w:hAnsi="微软雅黑" w:cs="微软雅黑"/>
                <w:sz w:val="18"/>
                <w:szCs w:val="18"/>
              </w:rPr>
              <w:t xml:space="preserve">市</w:t>
            </w:r>
            <w:r>
              <w:rPr>
                <w:rFonts w:ascii="微软雅黑" w:eastAsia="微软雅黑" w:hAnsi="微软雅黑" w:cs="微软雅黑" w:hint="eastAsia"/>
                <w:sz w:val="18"/>
                <w:szCs w:val="18"/>
              </w:rPr>
              <w:t xml:space="preserve">公路运输服务</w:t>
            </w:r>
            <w:r>
              <w:rPr>
                <w:rFonts w:ascii="微软雅黑" w:eastAsia="微软雅黑" w:hAnsi="微软雅黑" w:cs="微软雅黑"/>
                <w:sz w:val="18"/>
                <w:szCs w:val="18"/>
              </w:rPr>
              <w:t xml:space="preserve">协议</w:t>
            </w:r>
            <w:r>
              <w:rPr>
                <w:rFonts w:ascii="微软雅黑" w:eastAsia="微软雅黑" w:hAnsi="微软雅黑" w:cs="微软雅黑" w:hint="eastAsia"/>
                <w:sz w:val="18"/>
                <w:szCs w:val="18"/>
              </w:rPr>
              <w:t xml:space="preserve">；注册</w:t>
            </w:r>
            <w:r>
              <w:rPr>
                <w:rFonts w:ascii="微软雅黑" w:eastAsia="微软雅黑" w:hAnsi="微软雅黑" w:cs="微软雅黑"/>
                <w:sz w:val="18"/>
                <w:szCs w:val="18"/>
              </w:rPr>
              <w:t xml:space="preserve">地为</w:t>
            </w:r>
            <w:r>
              <w:rPr>
                <w:rFonts w:ascii="微软雅黑" w:eastAsia="微软雅黑" w:hAnsi="微软雅黑" w:cs="微软雅黑" w:hint="eastAsia"/>
                <w:sz w:val="18"/>
                <w:szCs w:val="18"/>
              </w:rPr>
              <w:t xml:space="preserve">该</w:t>
            </w:r>
            <w:r>
              <w:rPr>
                <w:rFonts w:ascii="微软雅黑" w:eastAsia="微软雅黑" w:hAnsi="微软雅黑" w:cs="微软雅黑"/>
                <w:sz w:val="18"/>
                <w:szCs w:val="18"/>
              </w:rPr>
              <w:t xml:space="preserve">城市</w:t>
            </w:r>
            <w:r>
              <w:rPr>
                <w:rFonts w:ascii="微软雅黑" w:eastAsia="微软雅黑" w:hAnsi="微软雅黑" w:cs="微软雅黑" w:hint="eastAsia"/>
                <w:sz w:val="18"/>
                <w:szCs w:val="18"/>
              </w:rPr>
              <w:t xml:space="preserve">的</w:t>
            </w:r>
            <w:r>
              <w:rPr>
                <w:rFonts w:ascii="微软雅黑" w:eastAsia="微软雅黑" w:hAnsi="微软雅黑" w:cs="微软雅黑"/>
                <w:sz w:val="18"/>
                <w:szCs w:val="18"/>
              </w:rPr>
              <w:t xml:space="preserve">分公司或子公司；在该城市的仓库租赁协议或自营仓库的营业执照。</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noWrap w:val="false"/>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15</w:t>
            </w:r>
          </w:p>
        </w:tc>
      </w:tr>
    </w:tbl>
    <w:p>
      <w:pPr>
        <w:widowControl w:val="true"/>
        <w:spacing/>
        <w:jc w:val="left"/>
        <w:rPr>
          <w:rFonts w:ascii="微软雅黑" w:eastAsia="微软雅黑" w:hAnsi="微软雅黑" w:cs="微软雅黑" w:hint="eastAsia"/>
          <w:sz w:val="18"/>
          <w:szCs w:val="18"/>
        </w:rPr>
      </w:pPr>
    </w:p>
    <w:p>
      <w:pPr>
        <w:widowControl w:val="true"/>
        <w:spacing/>
        <w:jc w:val="left"/>
        <w:rPr>
          <w:rFonts w:ascii="黑体" w:eastAsia="黑体" w:hAnsi="黑体" w:cs="黑体" w:hint="eastAsia"/>
          <w:b/>
          <w:bCs/>
          <w:sz w:val="32"/>
          <w:szCs w:val="32"/>
        </w:rPr>
      </w:pPr>
      <w:r>
        <w:rPr>
          <w:rFonts w:ascii="黑体" w:eastAsia="黑体" w:hAnsi="黑体" w:cs="黑体" w:hint="eastAsia"/>
          <w:b/>
          <w:bCs/>
          <w:sz w:val="32"/>
          <w:szCs w:val="32"/>
        </w:rPr>
        <w:t xml:space="preserve">总分100=S1+S2</w:t>
      </w:r>
    </w:p>
    <w:p>
      <w:pPr>
        <w:spacing/>
        <w:rPr/>
      </w:pPr>
      <w:bookmarkStart w:id="2" w:name="_GoBack"/>
      <w:bookmarkEnd w:id="2"/>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eiryo">
    <w:altName w:val="MS Gothic"/>
    <w:panose1 w:val="020B0604030504040204"/>
    <w:charset w:val="80"/>
    <w:family w:val="swiss"/>
    <w:pitch w:val="default"/>
    <w:sig w:usb0="00000000" w:usb1="00000000" w:usb2="00010012" w:usb3="00000000" w:csb0="000200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abstractNum w:abstractNumId="2">
    <w:multiLevelType w:val="multilevel"/>
    <w:lvl w:ilvl="0">
      <w:start w:val="1"/>
      <w:numFmt w:val="decimal"/>
      <w:suff w:val="tab"/>
      <w:lvlText w:val="%1."/>
      <w:pPr>
        <w:spacing/>
        <w:ind w:left="360" w:hanging="360"/>
      </w:pPr>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abstractNum w:abstractNumId="3">
    <w:multiLevelType w:val="multilevel"/>
    <w:lvl w:ilvl="0">
      <w:start w:val="1"/>
      <w:numFmt w:val="decimal"/>
      <w:suff w:val="tab"/>
      <w:lvlText w:val="%1."/>
      <w:pPr>
        <w:spacing/>
        <w:ind w:left="360" w:hanging="360"/>
      </w:pPr>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abstractNum w:abstractNumId="4">
    <w:multiLevelType w:val="multilevel"/>
    <w:lvl w:ilvl="0">
      <w:start w:val="1"/>
      <w:numFmt w:val="decimal"/>
      <w:suff w:val="tab"/>
      <w:lvlText w:val="%1、"/>
      <w:pPr>
        <w:spacing/>
        <w:ind w:left="360" w:hanging="360"/>
      </w:pPr>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8"/>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Calibri"/>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false"/>
      <w:spacing/>
      <w:jc w:val="both"/>
    </w:pPr>
    <w:rPr>
      <w:rFonts w:ascii="Times New Roman" w:eastAsia="宋体" w:hAnsi="Times New Roman" w:cs="Times New Roman"/>
      <w:sz w:val="21"/>
      <w:szCs w:val="24"/>
      <w:lang w:val="en-US" w:eastAsia="zh-CN" w:bidi="ar-SA"/>
    </w:rPr>
  </w:style>
  <w:style w:type="character" w:styleId="3" w:default="1">
    <w:name w:val="Default Paragraph Font"/>
    <w:semiHidden/>
    <w:rPr/>
  </w:style>
  <w:style w:type="table" w:styleId="2" w:default="1">
    <w:name w:val="Normal Table"/>
    <w:semiHidden/>
    <w:tblPr>
      <w:tblCellMar>
        <w:top w:w="0" w:type="dxa"/>
        <w:left w:w="108" w:type="dxa"/>
        <w:bottom w:w="0" w:type="dxa"/>
        <w:right w:w="108" w:type="dxa"/>
      </w:tblCellMar>
    </w:tblPr>
  </w:style>
  <w:style w:type="paragraph" w:styleId="4" w:customStyle="1">
    <w:name w:val="List Paragraph"/>
    <w:basedOn w:val="1"/>
    <w:next w:val="ListParagraph"/>
    <w:qFormat/>
    <w:pPr>
      <w:spacing/>
      <w:ind w:firstLineChars="200" w:firstLine="420"/>
    </w:pPr>
    <w:rPr>
      <w:rFonts w:ascii="等线" w:eastAsia="等线" w:hAnsi="等线" w:cs="Times New Roman"/>
      <w:szCs w:val="22"/>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1</Pages>
  <Words>0</Words>
  <Characters>0</Characters>
  <Application/>
  <DocSecurity>0</DocSecurity>
  <Lines>0</Lines>
  <Paragraphs>0</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2022-05-19T08:40:58Z</dcterms:created>
  <dcterms:modified xsi:type="dcterms:W3CDTF">2022-05-19T08:41:04Z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y fmtid="{D5CDD505-2E9C-101B-9397-08002B2CF9AE}" name="ICV" pid="3">
    <vt:lpstr/>
  </property>
</Properties>
</file>