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附件5：</w:t>
      </w:r>
    </w:p>
    <w:p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在</w:t>
      </w:r>
      <w:r>
        <w:rPr>
          <w:rFonts w:ascii="方正小标宋简体" w:eastAsia="方正小标宋简体" w:hAnsi="仿宋_GB2312" w:cs="仿宋_GB2312" w:hint="eastAsia"/>
          <w:sz w:val="44"/>
          <w:szCs w:val="32"/>
        </w:rPr>
        <w:t xml:space="preserve">成都稳定运营的国际（地区）全货（及客改货）航线的航司（按拼音顺序排列）</w:t>
      </w: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</w:p>
    <w:tbl>
      <w:tblPr>
        <w:tblStyle w:val="2"/>
        <w:tblLook w:val="04A0" w:firstRow="1" w:lastRow="0" w:firstColumn="1" w:lastColumn="0" w:noHBand="0" w:noVBand="1"/>
        <w:tblCaption w:val=""/>
        <w:tblDescription w:val=""/>
        <w:tblW w:w="6946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66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500" w:lineRule="exact"/>
              <w:jc w:val="righ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阿斯塔纳航空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埃塞俄比亚航空（客改货）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比利时航空（全货）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国泰航空（客改货）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海陆航空（客改货）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海南航空（客改货）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汉莎航空（全货）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华民航空（客改货）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金鹏航空（全货）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蓝色飞镖航空（全货）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麦纳古航空（全货）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欧若拉航空（客改货）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仁川航空（全货）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顺丰航空（全货）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四川航空（全货及客改货）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新加坡航空（客改货）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越南航空（客改货）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长荣航空（客改货）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中国国际航空公司（全货及客改货）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spacing w:line="500" w:lineRule="exact"/>
              <w:jc w:val="righ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5866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 w:line="500" w:lineRule="exact"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中华航空（客改货）</w:t>
            </w:r>
          </w:p>
        </w:tc>
      </w:tr>
    </w:tbl>
    <w:p>
      <w:pPr>
        <w:spacing w:line="560" w:lineRule="exact"/>
        <w:jc w:val="left"/>
        <w:rPr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注：本列表根据2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年4月成都机场在飞国际（地区）全货（客改货）航线整理</w:t>
      </w: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8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3" w:default="1">
    <w:name w:val="Default Paragraph Font"/>
    <w:semiHidden/>
    <w:rPr/>
  </w:style>
  <w:style w:type="table" w:styleId="2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2022-05-19T08:42:03Z</dcterms:created>
  <dcterms:modified xsi:type="dcterms:W3CDTF">2022-05-19T08:42:13Z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