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autoSpaceDE w:val="false"/>
        <w:autoSpaceDN w:val="false"/>
        <w:adjustRightInd w:val="false"/>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附件8：</w:t>
      </w:r>
    </w:p>
    <w:p>
      <w:pPr>
        <w:autoSpaceDE w:val="false"/>
        <w:autoSpaceDN w:val="false"/>
        <w:adjustRightInd w:val="false"/>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 xml:space="preserve">参评文件要求</w:t>
      </w:r>
    </w:p>
    <w:p>
      <w:pPr>
        <w:autoSpaceDE w:val="false"/>
        <w:autoSpaceDN w:val="false"/>
        <w:adjustRightInd w:val="false"/>
        <w:spacing w:line="560" w:lineRule="exact"/>
        <w:rPr>
          <w:rFonts w:ascii="仿宋_GB2312" w:eastAsia="仿宋_GB2312" w:hAnsi="仿宋_GB2312" w:cs="仿宋_GB2312"/>
          <w:b/>
          <w:bCs/>
          <w:color w:val="000000"/>
          <w:sz w:val="32"/>
          <w:szCs w:val="32"/>
        </w:rPr>
      </w:pPr>
    </w:p>
    <w:p>
      <w:pPr>
        <w:autoSpaceDE w:val="false"/>
        <w:autoSpaceDN w:val="false"/>
        <w:adjustRightInd w:val="false"/>
        <w:numPr>
          <w:ilvl w:val="0"/>
          <w:numId w:val="3"/>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数量</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纸</w:t>
      </w:r>
      <w:r>
        <w:rPr>
          <w:rFonts w:ascii="仿宋_GB2312" w:eastAsia="仿宋_GB2312" w:hAnsi="仿宋_GB2312" w:cs="仿宋_GB2312"/>
          <w:b/>
          <w:bCs/>
          <w:color w:val="000000"/>
          <w:sz w:val="32"/>
          <w:szCs w:val="32"/>
        </w:rPr>
        <w:t xml:space="preserve">质版</w:t>
      </w:r>
      <w:r>
        <w:rPr>
          <w:rFonts w:ascii="仿宋_GB2312" w:eastAsia="仿宋_GB2312" w:hAnsi="仿宋_GB2312" w:cs="仿宋_GB2312" w:hint="eastAsia"/>
          <w:b/>
          <w:bCs/>
          <w:color w:val="000000"/>
          <w:sz w:val="32"/>
          <w:szCs w:val="32"/>
        </w:rPr>
        <w:t xml:space="preserve">7份</w:t>
      </w:r>
    </w:p>
    <w:p>
      <w:pPr>
        <w:autoSpaceDE w:val="false"/>
        <w:autoSpaceDN w:val="false"/>
        <w:adjustRightInd w:val="false"/>
        <w:numPr>
          <w:ilvl w:val="0"/>
          <w:numId w:val="7"/>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 xml:space="preserve">电子版</w:t>
      </w:r>
      <w:r>
        <w:rPr>
          <w:rFonts w:ascii="仿宋_GB2312" w:eastAsia="仿宋_GB2312" w:hAnsi="仿宋_GB2312" w:cs="仿宋_GB2312" w:hint="eastAsia"/>
          <w:b/>
          <w:bCs/>
          <w:color w:val="000000"/>
          <w:sz w:val="32"/>
          <w:szCs w:val="32"/>
        </w:rPr>
        <w:t xml:space="preserve">1份</w:t>
      </w:r>
    </w:p>
    <w:p>
      <w:pPr>
        <w:autoSpaceDE w:val="false"/>
        <w:autoSpaceDN w:val="false"/>
        <w:adjustRightInd w:val="false"/>
        <w:numPr>
          <w:ilvl w:val="0"/>
          <w:numId w:val="3"/>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内容及材料</w:t>
      </w:r>
      <w:r>
        <w:rPr>
          <w:rFonts w:ascii="仿宋_GB2312" w:eastAsia="仿宋_GB2312" w:hAnsi="仿宋_GB2312" w:cs="仿宋_GB2312"/>
          <w:b/>
          <w:bCs/>
          <w:color w:val="000000"/>
          <w:sz w:val="32"/>
          <w:szCs w:val="32"/>
        </w:rPr>
        <w:t xml:space="preserve">装订顺序</w:t>
      </w:r>
    </w:p>
    <w:p>
      <w:pPr>
        <w:autoSpaceDE w:val="false"/>
        <w:autoSpaceDN w:val="false"/>
        <w:adjustRightInd w:val="false"/>
        <w:numPr>
          <w:ilvl w:val="0"/>
          <w:numId w:val="4"/>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封面</w:t>
      </w:r>
    </w:p>
    <w:p>
      <w:pPr>
        <w:autoSpaceDE w:val="false"/>
        <w:autoSpaceDN w:val="false"/>
        <w:adjustRightInd w:val="false"/>
        <w:numPr>
          <w:ilvl w:val="0"/>
          <w:numId w:val="4"/>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目录</w:t>
      </w:r>
    </w:p>
    <w:p>
      <w:pPr>
        <w:autoSpaceDE w:val="false"/>
        <w:autoSpaceDN w:val="false"/>
        <w:adjustRightInd w:val="false"/>
        <w:numPr>
          <w:ilvl w:val="0"/>
          <w:numId w:val="4"/>
        </w:num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关于参评资格的声明函</w:t>
      </w:r>
    </w:p>
    <w:p>
      <w:pPr>
        <w:autoSpaceDE w:val="false"/>
        <w:autoSpaceDN w:val="false"/>
        <w:adjustRightInd w:val="false"/>
        <w:numPr>
          <w:ilvl w:val="0"/>
          <w:numId w:val="4"/>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sz w:val="32"/>
          <w:szCs w:val="32"/>
        </w:rPr>
        <w:t xml:space="preserve">法定代表人授权委托书（注</w:t>
      </w:r>
      <w:r>
        <w:rPr>
          <w:rFonts w:ascii="仿宋_GB2312" w:eastAsia="仿宋_GB2312" w:hAnsi="仿宋_GB2312" w:cs="仿宋_GB2312"/>
          <w:b/>
          <w:sz w:val="32"/>
          <w:szCs w:val="32"/>
        </w:rPr>
        <w:t xml:space="preserve">：</w:t>
      </w:r>
      <w:r>
        <w:rPr>
          <w:rFonts w:ascii="仿宋_GB2312" w:eastAsia="仿宋_GB2312" w:hAnsi="仿宋_GB2312" w:cs="仿宋_GB2312" w:hint="eastAsia"/>
          <w:b/>
          <w:sz w:val="32"/>
          <w:szCs w:val="32"/>
        </w:rPr>
        <w:t xml:space="preserve">纸</w:t>
      </w:r>
      <w:r>
        <w:rPr>
          <w:rFonts w:ascii="仿宋_GB2312" w:eastAsia="仿宋_GB2312" w:hAnsi="仿宋_GB2312" w:cs="仿宋_GB2312"/>
          <w:b/>
          <w:sz w:val="32"/>
          <w:szCs w:val="32"/>
        </w:rPr>
        <w:t xml:space="preserve">质版材料中需使用原件）</w:t>
      </w:r>
    </w:p>
    <w:p>
      <w:pPr>
        <w:autoSpaceDE w:val="false"/>
        <w:autoSpaceDN w:val="false"/>
        <w:adjustRightInd w:val="false"/>
        <w:numPr>
          <w:ilvl w:val="0"/>
          <w:numId w:val="4"/>
        </w:num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商务部分</w:t>
      </w:r>
    </w:p>
    <w:p>
      <w:pPr>
        <w:autoSpaceDE w:val="false"/>
        <w:autoSpaceDN w:val="false"/>
        <w:adjustRightInd w:val="false"/>
        <w:numPr>
          <w:ilvl w:val="0"/>
          <w:numId w:val="5"/>
        </w:numPr>
        <w:spacing w:line="560" w:lineRule="exact"/>
        <w:ind w:left="156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企业</w:t>
      </w:r>
      <w:r>
        <w:rPr>
          <w:rFonts w:ascii="仿宋_GB2312" w:eastAsia="仿宋_GB2312" w:hAnsi="仿宋_GB2312" w:cs="仿宋_GB2312"/>
          <w:b/>
          <w:bCs/>
          <w:color w:val="000000"/>
          <w:sz w:val="32"/>
          <w:szCs w:val="32"/>
        </w:rPr>
        <w:t xml:space="preserve">概况</w:t>
      </w:r>
    </w:p>
    <w:p>
      <w:pPr>
        <w:autoSpaceDE w:val="false"/>
        <w:autoSpaceDN w:val="false"/>
        <w:adjustRightInd w:val="false"/>
        <w:spacing w:line="560" w:lineRule="exact"/>
        <w:ind w:left="1560"/>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 xml:space="preserve">1.</w:t>
      </w:r>
      <w:r>
        <w:rPr>
          <w:rFonts w:ascii="仿宋_GB2312" w:eastAsia="仿宋_GB2312" w:hAnsi="仿宋_GB2312" w:cs="仿宋_GB2312" w:hint="eastAsia"/>
          <w:color w:val="000000"/>
          <w:sz w:val="32"/>
          <w:szCs w:val="32"/>
        </w:rPr>
        <w:t xml:space="preserve">《企业法人营业执照》（如执照中无法体现注册资本，则需提供其它材料进行证明）</w:t>
      </w:r>
    </w:p>
    <w:p>
      <w:pPr>
        <w:autoSpaceDE w:val="false"/>
        <w:autoSpaceDN w:val="false"/>
        <w:adjustRightInd w:val="false"/>
        <w:spacing w:line="560" w:lineRule="exact"/>
        <w:ind w:left="1560"/>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 xml:space="preserve">2.</w:t>
      </w:r>
      <w:r>
        <w:rPr>
          <w:rFonts w:ascii="仿宋_GB2312" w:eastAsia="仿宋_GB2312" w:hAnsi="仿宋_GB2312" w:cs="仿宋_GB2312" w:hint="eastAsia"/>
          <w:color w:val="000000"/>
          <w:sz w:val="32"/>
          <w:szCs w:val="32"/>
        </w:rPr>
        <w:t xml:space="preserve">《道路运输许可证》</w:t>
      </w:r>
    </w:p>
    <w:p>
      <w:pPr>
        <w:autoSpaceDE w:val="false"/>
        <w:autoSpaceDN w:val="false"/>
        <w:adjustRightInd w:val="false"/>
        <w:spacing w:line="560" w:lineRule="exact"/>
        <w:ind w:left="1560"/>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 xml:space="preserve">3.</w:t>
      </w:r>
      <w:r>
        <w:rPr>
          <w:rFonts w:ascii="仿宋_GB2312" w:eastAsia="仿宋_GB2312" w:hAnsi="仿宋_GB2312" w:cs="仿宋_GB2312" w:hint="eastAsia"/>
          <w:color w:val="000000"/>
          <w:sz w:val="32"/>
          <w:szCs w:val="32"/>
        </w:rPr>
        <w:t xml:space="preserve">监管</w:t>
      </w:r>
      <w:r>
        <w:rPr>
          <w:rFonts w:ascii="仿宋_GB2312" w:eastAsia="仿宋_GB2312" w:hAnsi="仿宋_GB2312" w:cs="仿宋_GB2312"/>
          <w:color w:val="000000"/>
          <w:sz w:val="32"/>
          <w:szCs w:val="32"/>
        </w:rPr>
        <w:t xml:space="preserve">卡车运输资质</w:t>
      </w:r>
    </w:p>
    <w:p>
      <w:pPr>
        <w:autoSpaceDE w:val="false"/>
        <w:autoSpaceDN w:val="false"/>
        <w:adjustRightInd w:val="false"/>
        <w:numPr>
          <w:ilvl w:val="0"/>
          <w:numId w:val="5"/>
        </w:numPr>
        <w:spacing w:line="560" w:lineRule="exact"/>
        <w:ind w:left="156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企业财务</w:t>
      </w:r>
      <w:r>
        <w:rPr>
          <w:rFonts w:ascii="仿宋_GB2312" w:eastAsia="仿宋_GB2312" w:hAnsi="仿宋_GB2312" w:cs="仿宋_GB2312"/>
          <w:b/>
          <w:bCs/>
          <w:color w:val="000000"/>
          <w:sz w:val="32"/>
          <w:szCs w:val="32"/>
        </w:rPr>
        <w:t xml:space="preserve">实力</w:t>
      </w:r>
    </w:p>
    <w:p>
      <w:pPr>
        <w:autoSpaceDE w:val="false"/>
        <w:autoSpaceDN w:val="false"/>
        <w:adjustRightInd w:val="false"/>
        <w:spacing w:line="560" w:lineRule="exact"/>
        <w:ind w:left="1560"/>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注意：需提供经审计的2021年财务报告加盖单位公章进行佐证；如财务账目为外币计量的，按2021年12月31日中国人民银行公布的现汇牌价中间价进行折算。</w:t>
      </w:r>
    </w:p>
    <w:p>
      <w:pPr>
        <w:autoSpaceDE w:val="false"/>
        <w:autoSpaceDN w:val="false"/>
        <w:adjustRightInd w:val="false"/>
        <w:numPr>
          <w:ilvl w:val="0"/>
          <w:numId w:val="5"/>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服务</w:t>
      </w:r>
      <w:r>
        <w:rPr>
          <w:rFonts w:ascii="仿宋_GB2312" w:eastAsia="仿宋_GB2312" w:hAnsi="仿宋_GB2312" w:cs="仿宋_GB2312"/>
          <w:b/>
          <w:bCs/>
          <w:color w:val="000000"/>
          <w:sz w:val="32"/>
          <w:szCs w:val="32"/>
        </w:rPr>
        <w:t xml:space="preserve">年限</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注意：以营业执照注册时间为准</w:t>
      </w:r>
    </w:p>
    <w:p>
      <w:pPr>
        <w:autoSpaceDE w:val="false"/>
        <w:autoSpaceDN w:val="false"/>
        <w:adjustRightInd w:val="false"/>
        <w:numPr>
          <w:ilvl w:val="0"/>
          <w:numId w:val="5"/>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航空</w:t>
      </w:r>
      <w:r>
        <w:rPr>
          <w:rFonts w:ascii="仿宋_GB2312" w:eastAsia="仿宋_GB2312" w:hAnsi="仿宋_GB2312" w:cs="仿宋_GB2312"/>
          <w:b/>
          <w:bCs/>
          <w:color w:val="000000"/>
          <w:sz w:val="32"/>
          <w:szCs w:val="32"/>
        </w:rPr>
        <w:t xml:space="preserve">货运服务经验</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w:t>
      </w:r>
      <w:r>
        <w:rPr>
          <w:rFonts w:ascii="仿宋_GB2312" w:eastAsia="仿宋_GB2312" w:hAnsi="仿宋_GB2312" w:cs="仿宋_GB2312"/>
          <w:bCs/>
          <w:color w:val="000000"/>
          <w:sz w:val="32"/>
          <w:szCs w:val="32"/>
        </w:rPr>
        <w:t xml:space="preserve">意：</w:t>
      </w:r>
      <w:r>
        <w:rPr>
          <w:rFonts w:ascii="仿宋" w:eastAsia="仿宋" w:hAnsi="仿宋" w:cs="仿宋_GB2312" w:hint="eastAsia"/>
          <w:bCs/>
          <w:color w:val="000000"/>
          <w:sz w:val="32"/>
          <w:szCs w:val="32"/>
        </w:rPr>
        <w:t xml:space="preserve">①</w:t>
      </w:r>
      <w:r>
        <w:rPr>
          <w:rFonts w:ascii="仿宋_GB2312" w:eastAsia="仿宋_GB2312" w:hAnsi="仿宋_GB2312" w:cs="仿宋_GB2312" w:hint="eastAsia"/>
          <w:bCs/>
          <w:color w:val="000000"/>
          <w:sz w:val="32"/>
          <w:szCs w:val="32"/>
        </w:rPr>
        <w:t xml:space="preserve">需</w:t>
      </w:r>
      <w:r>
        <w:rPr>
          <w:rFonts w:ascii="仿宋_GB2312" w:eastAsia="仿宋_GB2312" w:hAnsi="仿宋_GB2312" w:cs="仿宋_GB2312"/>
          <w:bCs/>
          <w:color w:val="000000"/>
          <w:sz w:val="32"/>
          <w:szCs w:val="32"/>
        </w:rPr>
        <w:t xml:space="preserve">在材料</w:t>
      </w:r>
      <w:r>
        <w:rPr>
          <w:rFonts w:ascii="仿宋_GB2312" w:eastAsia="仿宋_GB2312" w:hAnsi="仿宋_GB2312" w:cs="仿宋_GB2312" w:hint="eastAsia"/>
          <w:bCs/>
          <w:color w:val="000000"/>
          <w:sz w:val="32"/>
          <w:szCs w:val="32"/>
        </w:rPr>
        <w:t xml:space="preserve">中注明参与</w:t>
      </w:r>
      <w:r>
        <w:rPr>
          <w:rFonts w:ascii="仿宋_GB2312" w:eastAsia="仿宋_GB2312" w:hAnsi="仿宋_GB2312" w:cs="仿宋_GB2312"/>
          <w:bCs/>
          <w:color w:val="000000"/>
          <w:sz w:val="32"/>
          <w:szCs w:val="32"/>
        </w:rPr>
        <w:t xml:space="preserve">评分的每个</w:t>
      </w:r>
      <w:r>
        <w:rPr>
          <w:rFonts w:ascii="仿宋_GB2312" w:eastAsia="仿宋_GB2312" w:hAnsi="仿宋_GB2312" w:cs="仿宋_GB2312" w:hint="eastAsia"/>
          <w:bCs/>
          <w:color w:val="000000"/>
          <w:sz w:val="32"/>
          <w:szCs w:val="32"/>
        </w:rPr>
        <w:t xml:space="preserve">协议服</w:t>
      </w:r>
      <w:r>
        <w:rPr>
          <w:rFonts w:ascii="仿宋_GB2312" w:eastAsia="仿宋_GB2312" w:hAnsi="仿宋_GB2312" w:cs="仿宋_GB2312"/>
          <w:bCs/>
          <w:color w:val="000000"/>
          <w:sz w:val="32"/>
          <w:szCs w:val="32"/>
        </w:rPr>
        <w:t xml:space="preserve">务对象所</w:t>
      </w:r>
      <w:r>
        <w:rPr>
          <w:rFonts w:ascii="仿宋_GB2312" w:eastAsia="仿宋_GB2312" w:hAnsi="仿宋_GB2312" w:cs="仿宋_GB2312" w:hint="eastAsia"/>
          <w:bCs/>
          <w:color w:val="000000"/>
          <w:sz w:val="32"/>
          <w:szCs w:val="32"/>
        </w:rPr>
        <w:t xml:space="preserve">对应的是</w:t>
      </w:r>
      <w:r>
        <w:rPr>
          <w:rFonts w:ascii="仿宋_GB2312" w:eastAsia="仿宋_GB2312" w:hAnsi="仿宋_GB2312" w:cs="仿宋_GB2312" w:hint="eastAsia"/>
          <w:bCs/>
          <w:color w:val="000000"/>
          <w:sz w:val="32"/>
          <w:szCs w:val="32"/>
          <w:u w:val="single"/>
        </w:rPr>
        <w:t xml:space="preserve">哪个</w:t>
      </w:r>
      <w:r>
        <w:rPr>
          <w:rFonts w:ascii="仿宋_GB2312" w:eastAsia="仿宋_GB2312" w:hAnsi="仿宋_GB2312" w:cs="仿宋_GB2312"/>
          <w:bCs/>
          <w:color w:val="000000"/>
          <w:sz w:val="32"/>
          <w:szCs w:val="32"/>
          <w:u w:val="single"/>
        </w:rPr>
        <w:t xml:space="preserve">排行榜</w:t>
      </w:r>
      <w:r>
        <w:rPr>
          <w:rFonts w:ascii="仿宋_GB2312" w:eastAsia="仿宋_GB2312" w:hAnsi="仿宋_GB2312" w:cs="仿宋_GB2312" w:hint="eastAsia"/>
          <w:bCs/>
          <w:color w:val="000000"/>
          <w:sz w:val="32"/>
          <w:szCs w:val="32"/>
        </w:rPr>
        <w:t xml:space="preserve">【</w:t>
      </w:r>
      <w:r>
        <w:rPr>
          <w:rFonts w:ascii="仿宋_GB2312" w:eastAsia="仿宋_GB2312" w:hAnsi="仿宋_GB2312" w:cs="仿宋_GB2312"/>
          <w:bCs/>
          <w:color w:val="000000"/>
          <w:sz w:val="32"/>
          <w:szCs w:val="32"/>
        </w:rPr>
        <w:t xml:space="preserve">排行榜共</w:t>
      </w:r>
      <w:r>
        <w:rPr>
          <w:rFonts w:ascii="仿宋_GB2312" w:eastAsia="仿宋_GB2312" w:hAnsi="仿宋_GB2312" w:cs="仿宋_GB2312" w:hint="eastAsia"/>
          <w:bCs/>
          <w:color w:val="000000"/>
          <w:sz w:val="32"/>
          <w:szCs w:val="32"/>
        </w:rPr>
        <w:t xml:space="preserve">3种</w:t>
      </w:r>
      <w:r>
        <w:rPr>
          <w:rFonts w:ascii="仿宋_GB2312" w:eastAsia="仿宋_GB2312" w:hAnsi="仿宋_GB2312" w:cs="仿宋_GB2312"/>
          <w:bCs/>
          <w:color w:val="000000"/>
          <w:sz w:val="32"/>
          <w:szCs w:val="32"/>
        </w:rPr>
        <w:t xml:space="preserve">，分别为：</w:t>
      </w:r>
      <w:r>
        <w:rPr>
          <w:rFonts w:ascii="仿宋_GB2312" w:eastAsia="仿宋_GB2312" w:hAnsi="仿宋_GB2312" w:cs="仿宋_GB2312" w:hint="eastAsia"/>
          <w:bCs/>
          <w:color w:val="000000"/>
          <w:sz w:val="32"/>
          <w:szCs w:val="32"/>
        </w:rPr>
        <w:t xml:space="preserve">在成都稳定运营的国际全货（及客改货）航线的航司（附件5</w:t>
      </w:r>
      <w:r>
        <w:rPr>
          <w:rFonts w:ascii="仿宋_GB2312" w:eastAsia="仿宋_GB2312" w:hAnsi="仿宋_GB2312" w:cs="仿宋_GB2312"/>
          <w:bCs/>
          <w:color w:val="000000"/>
          <w:sz w:val="32"/>
          <w:szCs w:val="32"/>
        </w:rPr>
        <w:t xml:space="preserve">）</w:t>
      </w:r>
      <w:r>
        <w:rPr>
          <w:rFonts w:ascii="仿宋_GB2312" w:eastAsia="仿宋_GB2312" w:hAnsi="仿宋_GB2312" w:cs="仿宋_GB2312" w:hint="eastAsia"/>
          <w:bCs/>
          <w:color w:val="000000"/>
          <w:sz w:val="32"/>
          <w:szCs w:val="32"/>
        </w:rPr>
        <w:t xml:space="preserve">、2021年全球航空货运量前30名货运代理人（</w:t>
      </w:r>
      <w:r>
        <w:rPr>
          <w:rFonts w:ascii="仿宋_GB2312" w:eastAsia="仿宋_GB2312" w:hAnsi="仿宋_GB2312" w:cs="仿宋_GB2312"/>
          <w:bCs/>
          <w:color w:val="000000"/>
          <w:sz w:val="32"/>
          <w:szCs w:val="32"/>
        </w:rPr>
        <w:t xml:space="preserve">附件</w:t>
      </w:r>
      <w:r>
        <w:rPr>
          <w:rFonts w:ascii="仿宋_GB2312" w:eastAsia="仿宋_GB2312" w:hAnsi="仿宋_GB2312" w:cs="仿宋_GB2312" w:hint="eastAsia"/>
          <w:bCs/>
          <w:color w:val="000000"/>
          <w:sz w:val="32"/>
          <w:szCs w:val="32"/>
        </w:rPr>
        <w:t xml:space="preserve">6）、2020年中国国际货代物流空运业务总收入前30名企业（</w:t>
      </w:r>
      <w:r>
        <w:rPr>
          <w:rFonts w:ascii="仿宋_GB2312" w:eastAsia="仿宋_GB2312" w:hAnsi="仿宋_GB2312" w:cs="仿宋_GB2312"/>
          <w:bCs/>
          <w:color w:val="000000"/>
          <w:sz w:val="32"/>
          <w:szCs w:val="32"/>
        </w:rPr>
        <w:t xml:space="preserve">附件</w:t>
      </w:r>
      <w:r>
        <w:rPr>
          <w:rFonts w:ascii="仿宋_GB2312" w:eastAsia="仿宋_GB2312" w:hAnsi="仿宋_GB2312" w:cs="仿宋_GB2312" w:hint="eastAsia"/>
          <w:bCs/>
          <w:color w:val="000000"/>
          <w:sz w:val="32"/>
          <w:szCs w:val="32"/>
        </w:rPr>
        <w:t xml:space="preserve">7）】中</w:t>
      </w:r>
      <w:r>
        <w:rPr>
          <w:rFonts w:ascii="仿宋_GB2312" w:eastAsia="仿宋_GB2312" w:hAnsi="仿宋_GB2312" w:cs="仿宋_GB2312"/>
          <w:bCs/>
          <w:color w:val="000000"/>
          <w:sz w:val="32"/>
          <w:szCs w:val="32"/>
        </w:rPr>
        <w:t xml:space="preserve">的</w:t>
      </w:r>
      <w:r>
        <w:rPr>
          <w:rFonts w:ascii="仿宋_GB2312" w:eastAsia="仿宋_GB2312" w:hAnsi="仿宋_GB2312" w:cs="仿宋_GB2312"/>
          <w:bCs/>
          <w:color w:val="000000"/>
          <w:sz w:val="32"/>
          <w:szCs w:val="32"/>
          <w:u w:val="single"/>
        </w:rPr>
        <w:t xml:space="preserve">第几名</w:t>
      </w:r>
      <w:r>
        <w:rPr>
          <w:rFonts w:ascii="仿宋_GB2312" w:eastAsia="仿宋_GB2312" w:hAnsi="仿宋_GB2312" w:cs="仿宋_GB2312"/>
          <w:bCs/>
          <w:color w:val="000000"/>
          <w:sz w:val="32"/>
          <w:szCs w:val="32"/>
        </w:rPr>
        <w:t xml:space="preserve">。</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 w:eastAsia="仿宋" w:hAnsi="仿宋" w:cs="仿宋_GB2312" w:hint="eastAsia"/>
          <w:bCs/>
          <w:color w:val="000000"/>
          <w:sz w:val="32"/>
          <w:szCs w:val="32"/>
        </w:rPr>
        <w:t xml:space="preserve">②</w:t>
      </w:r>
      <w:r>
        <w:rPr>
          <w:rFonts w:ascii="仿宋_GB2312" w:eastAsia="仿宋_GB2312" w:hAnsi="仿宋_GB2312" w:cs="仿宋_GB2312" w:hint="eastAsia"/>
          <w:bCs/>
          <w:color w:val="000000"/>
          <w:sz w:val="32"/>
          <w:szCs w:val="32"/>
        </w:rPr>
        <w:t xml:space="preserve">所</w:t>
      </w:r>
      <w:r>
        <w:rPr>
          <w:rFonts w:ascii="仿宋_GB2312" w:eastAsia="仿宋_GB2312" w:hAnsi="仿宋_GB2312" w:cs="仿宋_GB2312"/>
          <w:bCs/>
          <w:color w:val="000000"/>
          <w:sz w:val="32"/>
          <w:szCs w:val="32"/>
        </w:rPr>
        <w:t xml:space="preserve">提供证明文件的</w:t>
      </w:r>
      <w:r>
        <w:rPr>
          <w:rFonts w:ascii="仿宋_GB2312" w:eastAsia="仿宋_GB2312" w:hAnsi="仿宋_GB2312" w:cs="仿宋_GB2312" w:hint="eastAsia"/>
          <w:bCs/>
          <w:color w:val="000000"/>
          <w:sz w:val="32"/>
          <w:szCs w:val="32"/>
        </w:rPr>
        <w:t xml:space="preserve">协议</w:t>
      </w:r>
      <w:r>
        <w:rPr>
          <w:rFonts w:ascii="仿宋_GB2312" w:eastAsia="仿宋_GB2312" w:hAnsi="仿宋_GB2312" w:cs="仿宋_GB2312"/>
          <w:bCs/>
          <w:color w:val="000000"/>
          <w:sz w:val="32"/>
          <w:szCs w:val="32"/>
        </w:rPr>
        <w:t xml:space="preserve">对象为附件</w:t>
      </w:r>
      <w:r>
        <w:rPr>
          <w:rFonts w:ascii="仿宋_GB2312" w:eastAsia="仿宋_GB2312" w:hAnsi="仿宋_GB2312" w:cs="仿宋_GB2312" w:hint="eastAsia"/>
          <w:bCs/>
          <w:color w:val="000000"/>
          <w:sz w:val="32"/>
          <w:szCs w:val="32"/>
        </w:rPr>
        <w:t xml:space="preserve">5、6、7所</w:t>
      </w:r>
      <w:r>
        <w:rPr>
          <w:rFonts w:ascii="仿宋_GB2312" w:eastAsia="仿宋_GB2312" w:hAnsi="仿宋_GB2312" w:cs="仿宋_GB2312"/>
          <w:bCs/>
          <w:color w:val="000000"/>
          <w:sz w:val="32"/>
          <w:szCs w:val="32"/>
        </w:rPr>
        <w:t xml:space="preserve">列公司的</w:t>
      </w:r>
      <w:r>
        <w:rPr>
          <w:rFonts w:ascii="仿宋_GB2312" w:eastAsia="仿宋_GB2312" w:hAnsi="仿宋_GB2312" w:cs="仿宋_GB2312" w:hint="eastAsia"/>
          <w:bCs/>
          <w:color w:val="000000"/>
          <w:sz w:val="32"/>
          <w:szCs w:val="32"/>
        </w:rPr>
        <w:t xml:space="preserve">总</w:t>
      </w:r>
      <w:r>
        <w:rPr>
          <w:rFonts w:ascii="仿宋_GB2312" w:eastAsia="仿宋_GB2312" w:hAnsi="仿宋_GB2312" w:cs="仿宋_GB2312"/>
          <w:bCs/>
          <w:color w:val="000000"/>
          <w:sz w:val="32"/>
          <w:szCs w:val="32"/>
        </w:rPr>
        <w:t xml:space="preserve">部或</w:t>
      </w:r>
      <w:r>
        <w:rPr>
          <w:rFonts w:ascii="仿宋_GB2312" w:eastAsia="仿宋_GB2312" w:hAnsi="仿宋_GB2312" w:cs="仿宋_GB2312" w:hint="eastAsia"/>
          <w:bCs/>
          <w:color w:val="000000"/>
          <w:sz w:val="32"/>
          <w:szCs w:val="32"/>
        </w:rPr>
        <w:t xml:space="preserve">驻华</w:t>
      </w:r>
      <w:r>
        <w:rPr>
          <w:rFonts w:ascii="仿宋_GB2312" w:eastAsia="仿宋_GB2312" w:hAnsi="仿宋_GB2312" w:cs="仿宋_GB2312"/>
          <w:bCs/>
          <w:color w:val="000000"/>
          <w:sz w:val="32"/>
          <w:szCs w:val="32"/>
        </w:rPr>
        <w:t xml:space="preserve">分子公司</w:t>
      </w:r>
      <w:r>
        <w:rPr>
          <w:rFonts w:ascii="仿宋_GB2312" w:eastAsia="仿宋_GB2312" w:hAnsi="仿宋_GB2312" w:cs="仿宋_GB2312" w:hint="eastAsia"/>
          <w:bCs/>
          <w:color w:val="000000"/>
          <w:sz w:val="32"/>
          <w:szCs w:val="32"/>
        </w:rPr>
        <w:t xml:space="preserve">均</w:t>
      </w:r>
      <w:r>
        <w:rPr>
          <w:rFonts w:ascii="仿宋_GB2312" w:eastAsia="仿宋_GB2312" w:hAnsi="仿宋_GB2312" w:cs="仿宋_GB2312"/>
          <w:bCs/>
          <w:color w:val="000000"/>
          <w:sz w:val="32"/>
          <w:szCs w:val="32"/>
        </w:rPr>
        <w:t xml:space="preserve">可</w:t>
      </w:r>
      <w:r>
        <w:rPr>
          <w:rFonts w:ascii="仿宋_GB2312" w:eastAsia="仿宋_GB2312" w:hAnsi="仿宋_GB2312" w:cs="仿宋_GB2312" w:hint="eastAsia"/>
          <w:bCs/>
          <w:color w:val="000000"/>
          <w:sz w:val="32"/>
          <w:szCs w:val="32"/>
        </w:rPr>
        <w:t xml:space="preserve">，</w:t>
      </w:r>
      <w:r>
        <w:rPr>
          <w:rFonts w:ascii="仿宋_GB2312" w:eastAsia="仿宋_GB2312" w:hAnsi="仿宋_GB2312" w:cs="仿宋_GB2312"/>
          <w:bCs/>
          <w:color w:val="000000"/>
          <w:sz w:val="32"/>
          <w:szCs w:val="32"/>
        </w:rPr>
        <w:t xml:space="preserve">如为分子公司</w:t>
      </w:r>
      <w:r>
        <w:rPr>
          <w:rFonts w:ascii="仿宋_GB2312" w:eastAsia="仿宋_GB2312" w:hAnsi="仿宋_GB2312" w:cs="仿宋_GB2312" w:hint="eastAsia"/>
          <w:bCs/>
          <w:color w:val="000000"/>
          <w:sz w:val="32"/>
          <w:szCs w:val="32"/>
        </w:rPr>
        <w:t xml:space="preserve">请</w:t>
      </w:r>
      <w:r>
        <w:rPr>
          <w:rFonts w:ascii="仿宋_GB2312" w:eastAsia="仿宋_GB2312" w:hAnsi="仿宋_GB2312" w:cs="仿宋_GB2312"/>
          <w:bCs/>
          <w:color w:val="000000"/>
          <w:sz w:val="32"/>
          <w:szCs w:val="32"/>
        </w:rPr>
        <w:t xml:space="preserve">注明</w:t>
      </w:r>
      <w:r>
        <w:rPr>
          <w:rFonts w:ascii="仿宋_GB2312" w:eastAsia="仿宋_GB2312" w:hAnsi="仿宋_GB2312" w:cs="仿宋_GB2312" w:hint="eastAsia"/>
          <w:bCs/>
          <w:color w:val="000000"/>
          <w:sz w:val="32"/>
          <w:szCs w:val="32"/>
        </w:rPr>
        <w:t xml:space="preserve">“（</w:t>
      </w:r>
      <w:r>
        <w:rPr>
          <w:rFonts w:ascii="仿宋_GB2312" w:eastAsia="仿宋_GB2312" w:hAnsi="仿宋_GB2312" w:cs="仿宋_GB2312"/>
          <w:bCs/>
          <w:color w:val="000000"/>
          <w:sz w:val="32"/>
          <w:szCs w:val="32"/>
        </w:rPr>
        <w:t xml:space="preserve">……</w:t>
      </w:r>
      <w:r>
        <w:rPr>
          <w:rFonts w:ascii="仿宋_GB2312" w:eastAsia="仿宋_GB2312" w:hAnsi="仿宋_GB2312" w:cs="仿宋_GB2312" w:hint="eastAsia"/>
          <w:bCs/>
          <w:color w:val="000000"/>
          <w:sz w:val="32"/>
          <w:szCs w:val="32"/>
        </w:rPr>
        <w:t xml:space="preserve">的分</w:t>
      </w:r>
      <w:r>
        <w:rPr>
          <w:rFonts w:ascii="仿宋_GB2312" w:eastAsia="仿宋_GB2312" w:hAnsi="仿宋_GB2312" w:cs="仿宋_GB2312"/>
          <w:bCs/>
          <w:color w:val="000000"/>
          <w:sz w:val="32"/>
          <w:szCs w:val="32"/>
        </w:rPr>
        <w:t xml:space="preserve">公司</w:t>
      </w:r>
      <w:r>
        <w:rPr>
          <w:rFonts w:ascii="仿宋_GB2312" w:eastAsia="仿宋_GB2312" w:hAnsi="仿宋_GB2312" w:cs="仿宋_GB2312" w:hint="eastAsia"/>
          <w:bCs/>
          <w:color w:val="000000"/>
          <w:sz w:val="32"/>
          <w:szCs w:val="32"/>
        </w:rPr>
        <w:t xml:space="preserve">）</w:t>
      </w:r>
      <w:r>
        <w:rPr>
          <w:rFonts w:ascii="仿宋_GB2312" w:eastAsia="仿宋_GB2312" w:hAnsi="仿宋_GB2312" w:cs="仿宋_GB2312"/>
          <w:bCs/>
          <w:color w:val="000000"/>
          <w:sz w:val="32"/>
          <w:szCs w:val="32"/>
        </w:rPr>
        <w:t xml:space="preserve">”</w:t>
      </w:r>
      <w:r>
        <w:rPr>
          <w:rFonts w:ascii="仿宋_GB2312" w:eastAsia="仿宋_GB2312" w:hAnsi="仿宋_GB2312" w:cs="仿宋_GB2312" w:hint="eastAsia"/>
          <w:bCs/>
          <w:color w:val="000000"/>
          <w:sz w:val="32"/>
          <w:szCs w:val="32"/>
        </w:rPr>
        <w:t xml:space="preserve">或</w:t>
      </w:r>
      <w:r>
        <w:rPr>
          <w:rFonts w:ascii="仿宋_GB2312" w:eastAsia="仿宋_GB2312" w:hAnsi="仿宋_GB2312" w:cs="仿宋_GB2312"/>
          <w:bCs/>
          <w:color w:val="000000"/>
          <w:sz w:val="32"/>
          <w:szCs w:val="32"/>
        </w:rPr>
        <w:t xml:space="preserve">“……的</w:t>
      </w:r>
      <w:r>
        <w:rPr>
          <w:rFonts w:ascii="仿宋_GB2312" w:eastAsia="仿宋_GB2312" w:hAnsi="仿宋_GB2312" w:cs="仿宋_GB2312" w:hint="eastAsia"/>
          <w:bCs/>
          <w:color w:val="000000"/>
          <w:sz w:val="32"/>
          <w:szCs w:val="32"/>
        </w:rPr>
        <w:t xml:space="preserve">子</w:t>
      </w:r>
      <w:r>
        <w:rPr>
          <w:rFonts w:ascii="仿宋_GB2312" w:eastAsia="仿宋_GB2312" w:hAnsi="仿宋_GB2312" w:cs="仿宋_GB2312"/>
          <w:bCs/>
          <w:color w:val="000000"/>
          <w:sz w:val="32"/>
          <w:szCs w:val="32"/>
        </w:rPr>
        <w:t xml:space="preserve">公司”</w:t>
      </w:r>
      <w:r>
        <w:rPr>
          <w:rFonts w:ascii="仿宋_GB2312" w:eastAsia="仿宋_GB2312" w:hAnsi="仿宋_GB2312" w:cs="仿宋_GB2312" w:hint="eastAsia"/>
          <w:bCs/>
          <w:color w:val="000000"/>
          <w:sz w:val="32"/>
          <w:szCs w:val="32"/>
        </w:rPr>
        <w:t xml:space="preserve">。如</w:t>
      </w:r>
      <w:r>
        <w:rPr>
          <w:rFonts w:ascii="仿宋_GB2312" w:eastAsia="仿宋_GB2312" w:hAnsi="仿宋_GB2312" w:cs="仿宋_GB2312"/>
          <w:bCs/>
          <w:color w:val="000000"/>
          <w:sz w:val="32"/>
          <w:szCs w:val="32"/>
        </w:rPr>
        <w:t xml:space="preserve">该分子公司与母公司名称无关联，则需提供其</w:t>
      </w:r>
      <w:r>
        <w:rPr>
          <w:rFonts w:ascii="仿宋_GB2312" w:eastAsia="仿宋_GB2312" w:hAnsi="仿宋_GB2312" w:cs="仿宋_GB2312" w:hint="eastAsia"/>
          <w:bCs/>
          <w:color w:val="000000"/>
          <w:sz w:val="32"/>
          <w:szCs w:val="32"/>
        </w:rPr>
        <w:t xml:space="preserve">与</w:t>
      </w:r>
      <w:r>
        <w:rPr>
          <w:rFonts w:ascii="仿宋_GB2312" w:eastAsia="仿宋_GB2312" w:hAnsi="仿宋_GB2312" w:cs="仿宋_GB2312"/>
          <w:bCs/>
          <w:color w:val="000000"/>
          <w:sz w:val="32"/>
          <w:szCs w:val="32"/>
        </w:rPr>
        <w:t xml:space="preserve">母公司关系证明。</w:t>
      </w:r>
    </w:p>
    <w:p>
      <w:pPr>
        <w:autoSpaceDE w:val="false"/>
        <w:autoSpaceDN w:val="false"/>
        <w:adjustRightInd w:val="false"/>
        <w:numPr>
          <w:ilvl w:val="0"/>
          <w:numId w:val="5"/>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品牌</w:t>
      </w:r>
      <w:r>
        <w:rPr>
          <w:rFonts w:ascii="仿宋_GB2312" w:eastAsia="仿宋_GB2312" w:hAnsi="仿宋_GB2312" w:cs="仿宋_GB2312"/>
          <w:b/>
          <w:bCs/>
          <w:color w:val="000000"/>
          <w:sz w:val="32"/>
          <w:szCs w:val="32"/>
        </w:rPr>
        <w:t xml:space="preserve">影响力</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注意：需提供质量管理体系认证、行业协会认证或国家重大项目运营情况等能够反映投资人品牌影响力的材料。</w:t>
      </w:r>
    </w:p>
    <w:p>
      <w:pPr>
        <w:autoSpaceDE w:val="false"/>
        <w:autoSpaceDN w:val="false"/>
        <w:adjustRightInd w:val="false"/>
        <w:numPr>
          <w:ilvl w:val="0"/>
          <w:numId w:val="4"/>
        </w:numPr>
        <w:spacing w:line="560" w:lineRule="exact"/>
        <w:ind w:left="567"/>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技术</w:t>
      </w:r>
      <w:r>
        <w:rPr>
          <w:rFonts w:ascii="仿宋_GB2312" w:eastAsia="仿宋_GB2312" w:hAnsi="仿宋_GB2312" w:cs="仿宋_GB2312"/>
          <w:b/>
          <w:bCs/>
          <w:color w:val="000000"/>
          <w:sz w:val="32"/>
          <w:szCs w:val="32"/>
        </w:rPr>
        <w:t xml:space="preserve">部分</w:t>
      </w:r>
    </w:p>
    <w:p>
      <w:pPr>
        <w:autoSpaceDE w:val="false"/>
        <w:autoSpaceDN w:val="false"/>
        <w:adjustRightInd w:val="false"/>
        <w:numPr>
          <w:ilvl w:val="0"/>
          <w:numId w:val="6"/>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风险防范能力</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注意：</w:t>
      </w:r>
      <w:r>
        <w:rPr>
          <w:rFonts w:ascii="仿宋_GB2312" w:eastAsia="仿宋_GB2312" w:hAnsi="仿宋_GB2312" w:cs="仿宋_GB2312"/>
          <w:bCs/>
          <w:color w:val="000000"/>
          <w:sz w:val="32"/>
          <w:szCs w:val="32"/>
        </w:rPr>
        <w:t xml:space="preserve">需提供物流责任险或货物运输险</w:t>
      </w:r>
      <w:r>
        <w:rPr>
          <w:rFonts w:ascii="仿宋_GB2312" w:eastAsia="仿宋_GB2312" w:hAnsi="仿宋_GB2312" w:cs="仿宋_GB2312" w:hint="eastAsia"/>
          <w:bCs/>
          <w:color w:val="000000"/>
          <w:sz w:val="32"/>
          <w:szCs w:val="32"/>
        </w:rPr>
        <w:t xml:space="preserve">有</w:t>
      </w:r>
      <w:r>
        <w:rPr>
          <w:rFonts w:ascii="仿宋_GB2312" w:eastAsia="仿宋_GB2312" w:hAnsi="仿宋_GB2312" w:cs="仿宋_GB2312"/>
          <w:bCs/>
          <w:color w:val="000000"/>
          <w:sz w:val="32"/>
          <w:szCs w:val="32"/>
        </w:rPr>
        <w:t xml:space="preserve">效保单</w:t>
      </w:r>
      <w:r>
        <w:rPr>
          <w:rFonts w:ascii="仿宋_GB2312" w:eastAsia="仿宋_GB2312" w:hAnsi="仿宋_GB2312" w:cs="仿宋_GB2312" w:hint="eastAsia"/>
          <w:bCs/>
          <w:color w:val="000000"/>
          <w:sz w:val="32"/>
          <w:szCs w:val="32"/>
        </w:rPr>
        <w:t xml:space="preserve">进行</w:t>
      </w:r>
      <w:r>
        <w:rPr>
          <w:rFonts w:ascii="仿宋_GB2312" w:eastAsia="仿宋_GB2312" w:hAnsi="仿宋_GB2312" w:cs="仿宋_GB2312"/>
          <w:bCs/>
          <w:color w:val="000000"/>
          <w:sz w:val="32"/>
          <w:szCs w:val="32"/>
        </w:rPr>
        <w:t xml:space="preserve">证明</w:t>
      </w:r>
      <w:r>
        <w:rPr>
          <w:rFonts w:ascii="仿宋_GB2312" w:eastAsia="仿宋_GB2312" w:hAnsi="仿宋_GB2312" w:cs="仿宋_GB2312" w:hint="eastAsia"/>
          <w:bCs/>
          <w:color w:val="000000"/>
          <w:sz w:val="32"/>
          <w:szCs w:val="32"/>
        </w:rPr>
        <w:t xml:space="preserve">。</w:t>
      </w:r>
    </w:p>
    <w:p>
      <w:pPr>
        <w:autoSpaceDE w:val="false"/>
        <w:autoSpaceDN w:val="false"/>
        <w:adjustRightInd w:val="false"/>
        <w:numPr>
          <w:ilvl w:val="0"/>
          <w:numId w:val="6"/>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物流系统建设完善程度及配合</w:t>
      </w:r>
      <w:r>
        <w:rPr>
          <w:rFonts w:ascii="仿宋_GB2312" w:eastAsia="仿宋_GB2312" w:hAnsi="仿宋_GB2312" w:cs="仿宋_GB2312"/>
          <w:b/>
          <w:bCs/>
          <w:color w:val="000000"/>
          <w:sz w:val="32"/>
          <w:szCs w:val="32"/>
        </w:rPr>
        <w:t xml:space="preserve">成都空公联运政策的服务方案</w:t>
      </w:r>
    </w:p>
    <w:p>
      <w:pPr>
        <w:autoSpaceDE w:val="false"/>
        <w:autoSpaceDN w:val="false"/>
        <w:adjustRightInd w:val="false"/>
        <w:spacing w:line="560" w:lineRule="exact"/>
        <w:ind w:left="1134"/>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 xml:space="preserve">注意：如部分方案难以通过纸质版文件呈现，则纸质版文件可仅呈现部分流程图或截图。参评人可通过会场投影设备进行现场展示。</w:t>
      </w:r>
    </w:p>
    <w:p>
      <w:pPr>
        <w:autoSpaceDE w:val="false"/>
        <w:autoSpaceDN w:val="false"/>
        <w:adjustRightInd w:val="false"/>
        <w:numPr>
          <w:ilvl w:val="0"/>
          <w:numId w:val="6"/>
        </w:numPr>
        <w:spacing w:line="560" w:lineRule="exact"/>
        <w:ind w:left="1134"/>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运营保障能力</w:t>
      </w:r>
    </w:p>
    <w:p>
      <w:pPr>
        <w:autoSpaceDE w:val="false"/>
        <w:autoSpaceDN w:val="false"/>
        <w:adjustRightInd w:val="false"/>
        <w:spacing w:line="560" w:lineRule="exact"/>
        <w:ind w:left="1134"/>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注意：</w:t>
      </w:r>
      <w:r>
        <w:rPr>
          <w:rFonts w:ascii="仿宋" w:eastAsia="仿宋" w:hAnsi="仿宋" w:cs="仿宋_GB2312" w:hint="eastAsia"/>
          <w:bCs/>
          <w:color w:val="000000"/>
          <w:sz w:val="32"/>
          <w:szCs w:val="32"/>
        </w:rPr>
        <w:t xml:space="preserve">①</w:t>
      </w:r>
      <w:r>
        <w:rPr>
          <w:rFonts w:ascii="仿宋_GB2312" w:eastAsia="仿宋_GB2312" w:hAnsi="仿宋_GB2312" w:cs="仿宋_GB2312" w:hint="eastAsia"/>
          <w:bCs/>
          <w:color w:val="000000"/>
          <w:sz w:val="32"/>
          <w:szCs w:val="32"/>
        </w:rPr>
        <w:t xml:space="preserve">企业自有车辆需提供含车牌号、所有人信息的列表，“所有人”需为本公司或本公司分公司。（分公司需提供与参评单位的关系证明）</w:t>
      </w:r>
    </w:p>
    <w:p>
      <w:pPr>
        <w:autoSpaceDE w:val="false"/>
        <w:autoSpaceDN w:val="false"/>
        <w:adjustRightInd w:val="false"/>
        <w:spacing w:line="560" w:lineRule="exact"/>
        <w:ind w:leftChars="540" w:left="1134"/>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②网络规模（在某城市的揽货能力）可提供以下三者至少之一作为证明文件。A</w:t>
      </w:r>
      <w:r>
        <w:rPr>
          <w:rFonts w:ascii="仿宋" w:eastAsia="仿宋" w:hAnsi="仿宋" w:cs="仿宋_GB2312"/>
          <w:bCs/>
          <w:color w:val="000000"/>
          <w:sz w:val="32"/>
          <w:szCs w:val="32"/>
        </w:rPr>
        <w:t xml:space="preserve">.</w:t>
      </w:r>
      <w:r>
        <w:rPr>
          <w:rFonts w:ascii="仿宋" w:eastAsia="仿宋" w:hAnsi="仿宋" w:cs="仿宋_GB2312" w:hint="eastAsia"/>
          <w:bCs/>
          <w:color w:val="000000"/>
          <w:sz w:val="32"/>
          <w:szCs w:val="32"/>
        </w:rPr>
        <w:t xml:space="preserve">往返或单程通往该城市公路运输服务协议；B</w:t>
      </w:r>
      <w:r>
        <w:rPr>
          <w:rFonts w:ascii="仿宋" w:eastAsia="仿宋" w:hAnsi="仿宋" w:cs="仿宋_GB2312"/>
          <w:bCs/>
          <w:color w:val="000000"/>
          <w:sz w:val="32"/>
          <w:szCs w:val="32"/>
        </w:rPr>
        <w:t xml:space="preserve">.</w:t>
      </w:r>
      <w:r>
        <w:rPr>
          <w:rFonts w:ascii="仿宋" w:eastAsia="仿宋" w:hAnsi="仿宋" w:cs="仿宋_GB2312" w:hint="eastAsia"/>
          <w:bCs/>
          <w:color w:val="000000"/>
          <w:sz w:val="32"/>
          <w:szCs w:val="32"/>
        </w:rPr>
        <w:t xml:space="preserve">注册地为该城市的分公司或子公司</w:t>
      </w:r>
      <w:r>
        <w:rPr>
          <w:rFonts w:ascii="仿宋_GB2312" w:eastAsia="仿宋_GB2312" w:hAnsi="仿宋_GB2312" w:cs="仿宋_GB2312" w:hint="eastAsia"/>
          <w:bCs/>
          <w:color w:val="000000"/>
          <w:sz w:val="32"/>
          <w:szCs w:val="32"/>
        </w:rPr>
        <w:t xml:space="preserve">（分公司、子公司需提供与参评单位的关系证明）</w:t>
      </w:r>
      <w:r>
        <w:rPr>
          <w:rFonts w:ascii="仿宋" w:eastAsia="仿宋" w:hAnsi="仿宋" w:cs="仿宋_GB2312" w:hint="eastAsia"/>
          <w:bCs/>
          <w:color w:val="000000"/>
          <w:sz w:val="32"/>
          <w:szCs w:val="32"/>
        </w:rPr>
        <w:t xml:space="preserve">；</w:t>
      </w:r>
      <w:r>
        <w:rPr>
          <w:rFonts w:ascii="仿宋" w:eastAsia="仿宋" w:hAnsi="仿宋" w:cs="仿宋_GB2312"/>
          <w:bCs/>
          <w:color w:val="000000"/>
          <w:sz w:val="32"/>
          <w:szCs w:val="32"/>
        </w:rPr>
        <w:t xml:space="preserve">C.</w:t>
      </w:r>
      <w:r>
        <w:rPr>
          <w:rFonts w:ascii="仿宋" w:eastAsia="仿宋" w:hAnsi="仿宋" w:cs="仿宋_GB2312" w:hint="eastAsia"/>
          <w:bCs/>
          <w:color w:val="000000"/>
          <w:sz w:val="32"/>
          <w:szCs w:val="32"/>
        </w:rPr>
        <w:t xml:space="preserve">本公司或分公司（</w:t>
      </w:r>
      <w:r>
        <w:rPr>
          <w:rFonts w:ascii="仿宋_GB2312" w:eastAsia="仿宋_GB2312" w:hAnsi="仿宋_GB2312" w:cs="仿宋_GB2312" w:hint="eastAsia"/>
          <w:bCs/>
          <w:color w:val="000000"/>
          <w:sz w:val="32"/>
          <w:szCs w:val="32"/>
        </w:rPr>
        <w:t xml:space="preserve">分公司需提供与参评单位的关系证明</w:t>
      </w:r>
      <w:r>
        <w:rPr>
          <w:rFonts w:ascii="仿宋" w:eastAsia="仿宋" w:hAnsi="仿宋" w:cs="仿宋_GB2312" w:hint="eastAsia"/>
          <w:bCs/>
          <w:color w:val="000000"/>
          <w:sz w:val="32"/>
          <w:szCs w:val="32"/>
        </w:rPr>
        <w:t xml:space="preserve">）在该城市的仓库租赁协议或自营仓库的营业执照。</w:t>
      </w:r>
    </w:p>
    <w:p>
      <w:pPr>
        <w:autoSpaceDE w:val="false"/>
        <w:autoSpaceDN w:val="false"/>
        <w:adjustRightInd w:val="false"/>
        <w:spacing w:line="560" w:lineRule="exact"/>
        <w:ind w:leftChars="540" w:left="1134"/>
        <w:rPr>
          <w:rFonts w:ascii="仿宋" w:eastAsia="仿宋" w:hAnsi="仿宋" w:cs="仿宋_GB2312" w:hint="eastAsia"/>
          <w:bCs/>
          <w:color w:val="000000"/>
          <w:sz w:val="32"/>
          <w:szCs w:val="32"/>
        </w:rPr>
      </w:pPr>
      <w:r>
        <w:rPr>
          <w:rFonts w:ascii="仿宋" w:eastAsia="仿宋" w:hAnsi="仿宋" w:cs="仿宋_GB2312" w:hint="eastAsia"/>
          <w:bCs/>
          <w:color w:val="000000"/>
          <w:sz w:val="32"/>
          <w:szCs w:val="32"/>
        </w:rPr>
        <w:t xml:space="preserve">③仓库面积需提供本公司或分公司（</w:t>
      </w:r>
      <w:r>
        <w:rPr>
          <w:rFonts w:ascii="仿宋_GB2312" w:eastAsia="仿宋_GB2312" w:hAnsi="仿宋_GB2312" w:cs="仿宋_GB2312" w:hint="eastAsia"/>
          <w:bCs/>
          <w:color w:val="000000"/>
          <w:sz w:val="32"/>
          <w:szCs w:val="32"/>
        </w:rPr>
        <w:t xml:space="preserve">分公司需提供与参评单位的关系证明</w:t>
      </w:r>
      <w:r>
        <w:rPr>
          <w:rFonts w:ascii="仿宋" w:eastAsia="仿宋" w:hAnsi="仿宋" w:cs="仿宋_GB2312" w:hint="eastAsia"/>
          <w:bCs/>
          <w:color w:val="000000"/>
          <w:sz w:val="32"/>
          <w:szCs w:val="32"/>
        </w:rPr>
        <w:t xml:space="preserve">）在该城市的仓库租赁协议或自营仓库的营业执照佐证。（如在“网络规模”证明材料中已提供相应仓库证明材料，则此处可不重复提供，仅列出材料名称及对应页码即可。）</w:t>
      </w:r>
    </w:p>
    <w:p>
      <w:pPr>
        <w:spacing/>
        <w:rPr/>
      </w:pPr>
      <w:bookmarkStart w:id="2" w:name="_GoBack"/>
      <w:bookmarkEnd w:id="2"/>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multilevel"/>
    <w:lvl w:ilvl="0">
      <w:start w:val="1"/>
      <w:numFmt w:val="japaneseCounting"/>
      <w:suff w:val="tab"/>
      <w:lvlText w:val="%1、"/>
      <w:pPr>
        <w:spacing/>
        <w:ind w:left="720" w:hanging="720"/>
      </w:pPr>
      <w:rPr>
        <w:rFonts w:hint="default"/>
      </w:rPr>
    </w:lvl>
    <w:lvl w:ilvl="1">
      <w:start w:val="1"/>
      <w:numFmt w:val="lowerLetter"/>
      <w:suff w:val="tab"/>
      <w:lvlText w:val="%2)"/>
      <w:pPr>
        <w:spacing/>
        <w:ind w:left="840" w:hanging="420"/>
      </w:pPr>
      <w:rPr/>
    </w:lvl>
    <w:lvl w:ilvl="2">
      <w:start w:val="1"/>
      <w:numFmt w:val="lowerRoman"/>
      <w:suff w:val="tab"/>
      <w:lvlText w:val="%3."/>
      <w:lvlJc w:val="right"/>
      <w:pPr>
        <w:spacing/>
        <w:ind w:left="1260" w:hanging="420"/>
      </w:pPr>
      <w:rPr/>
    </w:lvl>
    <w:lvl w:ilvl="3">
      <w:start w:val="1"/>
      <w:numFmt w:val="decimal"/>
      <w:suff w:val="tab"/>
      <w:lvlText w:val="%4."/>
      <w:pPr>
        <w:spacing/>
        <w:ind w:left="1680" w:hanging="420"/>
      </w:pPr>
      <w:rPr/>
    </w:lvl>
    <w:lvl w:ilvl="4">
      <w:start w:val="1"/>
      <w:numFmt w:val="lowerLetter"/>
      <w:suff w:val="tab"/>
      <w:lvlText w:val="%5)"/>
      <w:pPr>
        <w:spacing/>
        <w:ind w:left="2100" w:hanging="420"/>
      </w:pPr>
      <w:rPr/>
    </w:lvl>
    <w:lvl w:ilvl="5">
      <w:start w:val="1"/>
      <w:numFmt w:val="lowerRoman"/>
      <w:suff w:val="tab"/>
      <w:lvlText w:val="%6."/>
      <w:lvlJc w:val="right"/>
      <w:pPr>
        <w:spacing/>
        <w:ind w:left="2520" w:hanging="420"/>
      </w:pPr>
      <w:rPr/>
    </w:lvl>
    <w:lvl w:ilvl="6">
      <w:start w:val="1"/>
      <w:numFmt w:val="decimal"/>
      <w:suff w:val="tab"/>
      <w:lvlText w:val="%7."/>
      <w:pPr>
        <w:spacing/>
        <w:ind w:left="2940" w:hanging="420"/>
      </w:pPr>
      <w:rPr/>
    </w:lvl>
    <w:lvl w:ilvl="7">
      <w:start w:val="1"/>
      <w:numFmt w:val="lowerLetter"/>
      <w:suff w:val="tab"/>
      <w:lvlText w:val="%8)"/>
      <w:pPr>
        <w:spacing/>
        <w:ind w:left="3360" w:hanging="420"/>
      </w:pPr>
      <w:rPr/>
    </w:lvl>
    <w:lvl w:ilvl="8">
      <w:start w:val="1"/>
      <w:numFmt w:val="lowerRoman"/>
      <w:suff w:val="tab"/>
      <w:lvlText w:val="%9."/>
      <w:lvlJc w:val="right"/>
      <w:pPr>
        <w:spacing/>
        <w:ind w:left="3780" w:hanging="420"/>
      </w:pPr>
      <w:rPr/>
    </w:lvl>
  </w:abstractNum>
  <w:abstractNum w:abstractNumId="3">
    <w:multiLevelType w:val="multilevel"/>
    <w:lvl w:ilvl="0">
      <w:start w:val="1"/>
      <w:numFmt w:val="decimal"/>
      <w:suff w:val="tab"/>
      <w:lvlText w:val="%1."/>
      <w:pPr>
        <w:spacing/>
        <w:ind w:left="1080" w:hanging="360"/>
      </w:pPr>
      <w:rPr>
        <w:rFonts w:hint="default"/>
      </w:rPr>
    </w:lvl>
    <w:lvl w:ilvl="1">
      <w:start w:val="1"/>
      <w:numFmt w:val="lowerLetter"/>
      <w:suff w:val="tab"/>
      <w:lvlText w:val="%2)"/>
      <w:pPr>
        <w:spacing/>
        <w:ind w:left="1560" w:hanging="420"/>
      </w:pPr>
      <w:rPr/>
    </w:lvl>
    <w:lvl w:ilvl="2">
      <w:start w:val="1"/>
      <w:numFmt w:val="lowerRoman"/>
      <w:suff w:val="tab"/>
      <w:lvlText w:val="%3."/>
      <w:lvlJc w:val="right"/>
      <w:pPr>
        <w:spacing/>
        <w:ind w:left="1980" w:hanging="420"/>
      </w:pPr>
      <w:rPr/>
    </w:lvl>
    <w:lvl w:ilvl="3">
      <w:start w:val="1"/>
      <w:numFmt w:val="decimal"/>
      <w:suff w:val="tab"/>
      <w:lvlText w:val="%4."/>
      <w:pPr>
        <w:spacing/>
        <w:ind w:left="2400" w:hanging="420"/>
      </w:pPr>
      <w:rPr/>
    </w:lvl>
    <w:lvl w:ilvl="4">
      <w:start w:val="1"/>
      <w:numFmt w:val="lowerLetter"/>
      <w:suff w:val="tab"/>
      <w:lvlText w:val="%5)"/>
      <w:pPr>
        <w:spacing/>
        <w:ind w:left="2820" w:hanging="420"/>
      </w:pPr>
      <w:rPr/>
    </w:lvl>
    <w:lvl w:ilvl="5">
      <w:start w:val="1"/>
      <w:numFmt w:val="lowerRoman"/>
      <w:suff w:val="tab"/>
      <w:lvlText w:val="%6."/>
      <w:lvlJc w:val="right"/>
      <w:pPr>
        <w:spacing/>
        <w:ind w:left="3240" w:hanging="420"/>
      </w:pPr>
      <w:rPr/>
    </w:lvl>
    <w:lvl w:ilvl="6">
      <w:start w:val="1"/>
      <w:numFmt w:val="decimal"/>
      <w:suff w:val="tab"/>
      <w:lvlText w:val="%7."/>
      <w:pPr>
        <w:spacing/>
        <w:ind w:left="3660" w:hanging="420"/>
      </w:pPr>
      <w:rPr/>
    </w:lvl>
    <w:lvl w:ilvl="7">
      <w:start w:val="1"/>
      <w:numFmt w:val="lowerLetter"/>
      <w:suff w:val="tab"/>
      <w:lvlText w:val="%8)"/>
      <w:pPr>
        <w:spacing/>
        <w:ind w:left="4080" w:hanging="420"/>
      </w:pPr>
      <w:rPr/>
    </w:lvl>
    <w:lvl w:ilvl="8">
      <w:start w:val="1"/>
      <w:numFmt w:val="lowerRoman"/>
      <w:suff w:val="tab"/>
      <w:lvlText w:val="%9."/>
      <w:lvlJc w:val="right"/>
      <w:pPr>
        <w:spacing/>
        <w:ind w:left="4500" w:hanging="420"/>
      </w:pPr>
      <w:rPr/>
    </w:lvl>
  </w:abstractNum>
  <w:abstractNum w:abstractNumId="4">
    <w:multiLevelType w:val="multilevel"/>
    <w:lvl w:ilvl="0">
      <w:start w:val="1"/>
      <w:numFmt w:val="decimal"/>
      <w:suff w:val="tab"/>
      <w:lvlText w:val="（%1）"/>
      <w:pPr>
        <w:spacing/>
        <w:ind w:left="2160" w:hanging="1080"/>
      </w:pPr>
      <w:rPr>
        <w:rFonts w:hint="default"/>
        <w:lang w:val="en-US"/>
      </w:rPr>
    </w:lvl>
    <w:lvl w:ilvl="1">
      <w:start w:val="1"/>
      <w:numFmt w:val="lowerLetter"/>
      <w:suff w:val="tab"/>
      <w:lvlText w:val="%2)"/>
      <w:pPr>
        <w:spacing/>
        <w:ind w:left="1920" w:hanging="420"/>
      </w:pPr>
      <w:rPr/>
    </w:lvl>
    <w:lvl w:ilvl="2">
      <w:start w:val="1"/>
      <w:numFmt w:val="lowerRoman"/>
      <w:suff w:val="tab"/>
      <w:lvlText w:val="%3."/>
      <w:lvlJc w:val="right"/>
      <w:pPr>
        <w:spacing/>
        <w:ind w:left="2340" w:hanging="420"/>
      </w:pPr>
      <w:rPr/>
    </w:lvl>
    <w:lvl w:ilvl="3">
      <w:start w:val="1"/>
      <w:numFmt w:val="decimal"/>
      <w:suff w:val="tab"/>
      <w:lvlText w:val="%4."/>
      <w:pPr>
        <w:spacing/>
        <w:ind w:left="2760" w:hanging="420"/>
      </w:pPr>
      <w:rPr/>
    </w:lvl>
    <w:lvl w:ilvl="4">
      <w:start w:val="1"/>
      <w:numFmt w:val="lowerLetter"/>
      <w:suff w:val="tab"/>
      <w:lvlText w:val="%5)"/>
      <w:pPr>
        <w:spacing/>
        <w:ind w:left="3180" w:hanging="420"/>
      </w:pPr>
      <w:rPr/>
    </w:lvl>
    <w:lvl w:ilvl="5">
      <w:start w:val="1"/>
      <w:numFmt w:val="lowerRoman"/>
      <w:suff w:val="tab"/>
      <w:lvlText w:val="%6."/>
      <w:lvlJc w:val="right"/>
      <w:pPr>
        <w:spacing/>
        <w:ind w:left="3600" w:hanging="420"/>
      </w:pPr>
      <w:rPr/>
    </w:lvl>
    <w:lvl w:ilvl="6">
      <w:start w:val="1"/>
      <w:numFmt w:val="decimal"/>
      <w:suff w:val="tab"/>
      <w:lvlText w:val="%7."/>
      <w:pPr>
        <w:spacing/>
        <w:ind w:left="4020" w:hanging="420"/>
      </w:pPr>
      <w:rPr/>
    </w:lvl>
    <w:lvl w:ilvl="7">
      <w:start w:val="1"/>
      <w:numFmt w:val="lowerLetter"/>
      <w:suff w:val="tab"/>
      <w:lvlText w:val="%8)"/>
      <w:pPr>
        <w:spacing/>
        <w:ind w:left="4440" w:hanging="420"/>
      </w:pPr>
      <w:rPr/>
    </w:lvl>
    <w:lvl w:ilvl="8">
      <w:start w:val="1"/>
      <w:numFmt w:val="lowerRoman"/>
      <w:suff w:val="tab"/>
      <w:lvlText w:val="%9."/>
      <w:lvlJc w:val="right"/>
      <w:pPr>
        <w:spacing/>
        <w:ind w:left="4860" w:hanging="420"/>
      </w:pPr>
      <w:rPr/>
    </w:lvl>
  </w:abstractNum>
  <w:abstractNum w:abstractNumId="5">
    <w:multiLevelType w:val="multilevel"/>
    <w:lvl w:ilvl="0">
      <w:start w:val="1"/>
      <w:numFmt w:val="decimal"/>
      <w:suff w:val="tab"/>
      <w:lvlText w:val="（%1）"/>
      <w:pPr>
        <w:spacing/>
        <w:ind w:left="2160" w:hanging="1080"/>
      </w:pPr>
      <w:rPr>
        <w:rFonts w:hint="default"/>
      </w:rPr>
    </w:lvl>
    <w:lvl w:ilvl="1">
      <w:start w:val="1"/>
      <w:numFmt w:val="lowerLetter"/>
      <w:suff w:val="tab"/>
      <w:lvlText w:val="%2)"/>
      <w:pPr>
        <w:spacing/>
        <w:ind w:left="1920" w:hanging="420"/>
      </w:pPr>
      <w:rPr/>
    </w:lvl>
    <w:lvl w:ilvl="2">
      <w:start w:val="1"/>
      <w:numFmt w:val="lowerRoman"/>
      <w:suff w:val="tab"/>
      <w:lvlText w:val="%3."/>
      <w:lvlJc w:val="right"/>
      <w:pPr>
        <w:spacing/>
        <w:ind w:left="2340" w:hanging="420"/>
      </w:pPr>
      <w:rPr/>
    </w:lvl>
    <w:lvl w:ilvl="3">
      <w:start w:val="1"/>
      <w:numFmt w:val="decimal"/>
      <w:suff w:val="tab"/>
      <w:lvlText w:val="%4."/>
      <w:pPr>
        <w:spacing/>
        <w:ind w:left="2760" w:hanging="420"/>
      </w:pPr>
      <w:rPr/>
    </w:lvl>
    <w:lvl w:ilvl="4">
      <w:start w:val="1"/>
      <w:numFmt w:val="lowerLetter"/>
      <w:suff w:val="tab"/>
      <w:lvlText w:val="%5)"/>
      <w:pPr>
        <w:spacing/>
        <w:ind w:left="3180" w:hanging="420"/>
      </w:pPr>
      <w:rPr/>
    </w:lvl>
    <w:lvl w:ilvl="5">
      <w:start w:val="1"/>
      <w:numFmt w:val="lowerRoman"/>
      <w:suff w:val="tab"/>
      <w:lvlText w:val="%6."/>
      <w:lvlJc w:val="right"/>
      <w:pPr>
        <w:spacing/>
        <w:ind w:left="3600" w:hanging="420"/>
      </w:pPr>
      <w:rPr/>
    </w:lvl>
    <w:lvl w:ilvl="6">
      <w:start w:val="1"/>
      <w:numFmt w:val="decimal"/>
      <w:suff w:val="tab"/>
      <w:lvlText w:val="%7."/>
      <w:pPr>
        <w:spacing/>
        <w:ind w:left="4020" w:hanging="420"/>
      </w:pPr>
      <w:rPr/>
    </w:lvl>
    <w:lvl w:ilvl="7">
      <w:start w:val="1"/>
      <w:numFmt w:val="lowerLetter"/>
      <w:suff w:val="tab"/>
      <w:lvlText w:val="%8)"/>
      <w:pPr>
        <w:spacing/>
        <w:ind w:left="4440" w:hanging="420"/>
      </w:pPr>
      <w:rPr/>
    </w:lvl>
    <w:lvl w:ilvl="8">
      <w:start w:val="1"/>
      <w:numFmt w:val="lowerRoman"/>
      <w:suff w:val="tab"/>
      <w:lvlText w:val="%9."/>
      <w:lvlJc w:val="right"/>
      <w:pPr>
        <w:spacing/>
        <w:ind w:left="4860" w:hanging="420"/>
      </w:pPr>
      <w:rPr/>
    </w:lvl>
  </w:abstractNum>
  <w:abstractNum w:abstractNumId="6">
    <w:multiLevelType w:val="multilevel"/>
    <w:lvl w:ilvl="0">
      <w:start w:val="1"/>
      <w:numFmt w:val="decimal"/>
      <w:suff w:val="tab"/>
      <w:lvlText w:val="%1."/>
      <w:pPr>
        <w:spacing/>
        <w:ind w:left="1080" w:hanging="360"/>
      </w:pPr>
      <w:rPr>
        <w:rFonts w:hint="default"/>
      </w:rPr>
    </w:lvl>
    <w:lvl w:ilvl="1">
      <w:start w:val="1"/>
      <w:numFmt w:val="lowerLetter"/>
      <w:suff w:val="tab"/>
      <w:lvlText w:val="%2)"/>
      <w:pPr>
        <w:spacing/>
        <w:ind w:left="1560" w:hanging="420"/>
      </w:pPr>
      <w:rPr/>
    </w:lvl>
    <w:lvl w:ilvl="2">
      <w:start w:val="1"/>
      <w:numFmt w:val="lowerRoman"/>
      <w:suff w:val="tab"/>
      <w:lvlText w:val="%3."/>
      <w:lvlJc w:val="right"/>
      <w:pPr>
        <w:spacing/>
        <w:ind w:left="1980" w:hanging="420"/>
      </w:pPr>
      <w:rPr/>
    </w:lvl>
    <w:lvl w:ilvl="3">
      <w:start w:val="1"/>
      <w:numFmt w:val="decimal"/>
      <w:suff w:val="tab"/>
      <w:lvlText w:val="%4."/>
      <w:pPr>
        <w:spacing/>
        <w:ind w:left="2400" w:hanging="420"/>
      </w:pPr>
      <w:rPr/>
    </w:lvl>
    <w:lvl w:ilvl="4">
      <w:start w:val="1"/>
      <w:numFmt w:val="lowerLetter"/>
      <w:suff w:val="tab"/>
      <w:lvlText w:val="%5)"/>
      <w:pPr>
        <w:spacing/>
        <w:ind w:left="2820" w:hanging="420"/>
      </w:pPr>
      <w:rPr/>
    </w:lvl>
    <w:lvl w:ilvl="5">
      <w:start w:val="1"/>
      <w:numFmt w:val="lowerRoman"/>
      <w:suff w:val="tab"/>
      <w:lvlText w:val="%6."/>
      <w:lvlJc w:val="right"/>
      <w:pPr>
        <w:spacing/>
        <w:ind w:left="3240" w:hanging="420"/>
      </w:pPr>
      <w:rPr/>
    </w:lvl>
    <w:lvl w:ilvl="6">
      <w:start w:val="1"/>
      <w:numFmt w:val="decimal"/>
      <w:suff w:val="tab"/>
      <w:lvlText w:val="%7."/>
      <w:pPr>
        <w:spacing/>
        <w:ind w:left="3660" w:hanging="420"/>
      </w:pPr>
      <w:rPr/>
    </w:lvl>
    <w:lvl w:ilvl="7">
      <w:start w:val="1"/>
      <w:numFmt w:val="lowerLetter"/>
      <w:suff w:val="tab"/>
      <w:lvlText w:val="%8)"/>
      <w:pPr>
        <w:spacing/>
        <w:ind w:left="4080" w:hanging="420"/>
      </w:pPr>
      <w:rPr/>
    </w:lvl>
    <w:lvl w:ilvl="8">
      <w:start w:val="1"/>
      <w:numFmt w:val="lowerRoman"/>
      <w:suff w:val="tab"/>
      <w:lvlText w:val="%9."/>
      <w:lvlJc w:val="right"/>
      <w:pPr>
        <w:spacing/>
        <w:ind w:left="450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8"/>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Calibri"/>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false"/>
      <w:spacing/>
      <w:jc w:val="both"/>
    </w:pPr>
    <w:rPr>
      <w:rFonts w:ascii="Times New Roman" w:eastAsia="宋体" w:hAnsi="Times New Roman" w:cs="Times New Roman"/>
      <w:sz w:val="21"/>
      <w:szCs w:val="24"/>
      <w:lang w:val="en-US" w:eastAsia="zh-CN" w:bidi="ar-SA"/>
    </w:rPr>
  </w:style>
  <w:style w:type="character" w:styleId="3" w:default="1">
    <w:name w:val="Default Paragraph Font"/>
    <w:semiHidden/>
    <w:rPr/>
  </w:style>
  <w:style w:type="table" w:styleId="2" w:default="1">
    <w:name w:val="Normal Table"/>
    <w:semiHidden/>
    <w:tblPr>
      <w:tblCellMar>
        <w:top w:w="0" w:type="dxa"/>
        <w:left w:w="108" w:type="dxa"/>
        <w:bottom w:w="0" w:type="dxa"/>
        <w:right w:w="108" w:type="dxa"/>
      </w:tblCellMar>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1</Pages>
  <Words>0</Words>
  <Characters>0</Characters>
  <Application/>
  <DocSecurity>0</DocSecurity>
  <Lines>0</Lines>
  <Paragraphs>0</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2022-05-19T08:44:53Z</dcterms:created>
  <dcterms:modified xsi:type="dcterms:W3CDTF">2022-05-19T08:44:56Z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