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autoSpaceDE w:val="false"/>
        <w:autoSpaceDN w:val="false"/>
        <w:adjustRightInd w:val="false"/>
        <w:spacing w:line="560" w:lineRule="exact"/>
        <w:rPr>
          <w:rFonts w:ascii="仿宋_GB2312" w:eastAsia="仿宋_GB2312" w:hAnsi="仿宋_GB2312" w:cs="仿宋_GB2312"/>
          <w:b/>
          <w:bCs/>
          <w:color w:val="000000"/>
          <w:sz w:val="32"/>
          <w:szCs w:val="32"/>
        </w:rPr>
      </w:pPr>
      <w:bookmarkStart w:id="2" w:name="_GoBack"/>
      <w:bookmarkEnd w:id="2"/>
      <w:r>
        <w:rPr>
          <w:rFonts w:ascii="仿宋_GB2312" w:eastAsia="仿宋_GB2312" w:hAnsi="仿宋_GB2312" w:cs="仿宋_GB2312" w:hint="eastAsia"/>
          <w:b/>
          <w:bCs/>
          <w:color w:val="000000"/>
          <w:sz w:val="32"/>
          <w:szCs w:val="32"/>
        </w:rPr>
        <w:t xml:space="preserve">附件10：</w:t>
      </w:r>
    </w:p>
    <w:p>
      <w:pPr>
        <w:autoSpaceDE w:val="false"/>
        <w:autoSpaceDN w:val="false"/>
        <w:adjustRightInd w:val="false"/>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 xml:space="preserve">参评文件要求</w:t>
      </w:r>
    </w:p>
    <w:p>
      <w:pPr>
        <w:autoSpaceDE w:val="false"/>
        <w:autoSpaceDN w:val="false"/>
        <w:adjustRightInd w:val="false"/>
        <w:spacing w:line="560" w:lineRule="exact"/>
        <w:rPr>
          <w:rFonts w:ascii="仿宋_GB2312" w:eastAsia="仿宋_GB2312" w:hAnsi="仿宋_GB2312" w:cs="仿宋_GB2312"/>
          <w:b/>
          <w:bCs/>
          <w:color w:val="000000"/>
          <w:sz w:val="32"/>
          <w:szCs w:val="32"/>
        </w:rPr>
      </w:pPr>
    </w:p>
    <w:p>
      <w:pPr>
        <w:autoSpaceDE w:val="false"/>
        <w:autoSpaceDN w:val="false"/>
        <w:adjustRightInd w:val="false"/>
        <w:numPr>
          <w:ilvl w:val="0"/>
          <w:numId w:val="3"/>
        </w:numPr>
        <w:spacing w:line="560" w:lineRule="exact"/>
        <w:ind w:hanging="80"/>
        <w:rPr>
          <w:rFonts w:ascii="黑体" w:eastAsia="黑体" w:hAnsi="黑体" w:cs="黑体" w:hint="eastAsia"/>
          <w:b/>
          <w:bCs/>
          <w:color w:val="000000"/>
          <w:sz w:val="32"/>
          <w:szCs w:val="32"/>
        </w:rPr>
      </w:pPr>
      <w:r>
        <w:rPr>
          <w:rFonts w:ascii="黑体" w:eastAsia="黑体" w:hAnsi="黑体" w:cs="黑体" w:hint="eastAsia"/>
          <w:b/>
          <w:bCs/>
          <w:color w:val="000000"/>
          <w:sz w:val="32"/>
          <w:szCs w:val="32"/>
        </w:rPr>
        <w:t xml:space="preserve">参评材料形式、数量、送达时间</w:t>
      </w:r>
    </w:p>
    <w:p>
      <w:pPr>
        <w:autoSpaceDE w:val="false"/>
        <w:autoSpaceDN w:val="false"/>
        <w:adjustRightInd w:val="false"/>
        <w:numPr>
          <w:ilvl w:val="0"/>
          <w:numId w:val="5"/>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 xml:space="preserve">电子版</w:t>
      </w:r>
      <w:r>
        <w:rPr>
          <w:rFonts w:ascii="仿宋_GB2312" w:eastAsia="仿宋_GB2312" w:hAnsi="仿宋_GB2312" w:cs="仿宋_GB2312" w:hint="eastAsia"/>
          <w:b/>
          <w:bCs/>
          <w:color w:val="000000"/>
          <w:sz w:val="32"/>
          <w:szCs w:val="32"/>
        </w:rPr>
        <w:t xml:space="preserve">（正本）1份</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电子版参评材料为评审组审查的正本材料。为确保其严谨性和保密性，材料格式为PDF格式（注意：参评文件为一个完整的PDF文件，不要使用一个文件夹装若干个PDF文件，pdf文件内页请带页码），并设置文件密码（密码在参评会议前请勿告知机场方或其他单位）。</w:t>
      </w:r>
    </w:p>
    <w:p>
      <w:pPr>
        <w:autoSpaceDE w:val="false"/>
        <w:autoSpaceDN w:val="false"/>
        <w:adjustRightInd w:val="false"/>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 xml:space="preserve">电子版参评材料须于2022年8月10日下午14:00发送至邮箱827304666@qq.com, 邮件命名为“XX公司空公联运平台参评材料”（注意：在邮件中不要提供文件密码，该密码在8月11日评选会期间当场提供）。如邮件中的参评文件成功下载，接收人郭女士将回复邮件告知。</w:t>
      </w:r>
    </w:p>
    <w:p>
      <w:pPr>
        <w:autoSpaceDE w:val="false"/>
        <w:autoSpaceDN w:val="false"/>
        <w:adjustRightInd w:val="false"/>
        <w:numPr>
          <w:ilvl w:val="0"/>
          <w:numId w:val="5"/>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纸</w:t>
      </w:r>
      <w:r>
        <w:rPr>
          <w:rFonts w:ascii="仿宋_GB2312" w:eastAsia="仿宋_GB2312" w:hAnsi="仿宋_GB2312" w:cs="仿宋_GB2312"/>
          <w:b/>
          <w:bCs/>
          <w:color w:val="000000"/>
          <w:sz w:val="32"/>
          <w:szCs w:val="32"/>
        </w:rPr>
        <w:t xml:space="preserve">质版</w:t>
      </w:r>
      <w:r>
        <w:rPr>
          <w:rFonts w:ascii="仿宋_GB2312" w:eastAsia="仿宋_GB2312" w:hAnsi="仿宋_GB2312" w:cs="仿宋_GB2312" w:hint="eastAsia"/>
          <w:b/>
          <w:bCs/>
          <w:color w:val="000000"/>
          <w:sz w:val="32"/>
          <w:szCs w:val="32"/>
        </w:rPr>
        <w:t xml:space="preserve">（副本）1份</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纸质版参评材料作为副本材料仅作存档使用，内容应与参评电子版一致（评审当天不作审查），文件于2022年8月10日寄出（于一周内寄达即可，不必于8月11日寄达），寄送地址：四川省成都市双流区机场南三路8号四川省机场集团办公楼B603 郭女士 028-85208124。</w:t>
      </w:r>
    </w:p>
    <w:p>
      <w:pPr>
        <w:autoSpaceDE w:val="false"/>
        <w:autoSpaceDN w:val="false"/>
        <w:adjustRightInd w:val="false"/>
        <w:numPr>
          <w:ilvl w:val="0"/>
          <w:numId w:val="3"/>
        </w:numPr>
        <w:spacing w:line="560" w:lineRule="exact"/>
        <w:ind w:hanging="80"/>
        <w:rPr>
          <w:rFonts w:ascii="黑体" w:eastAsia="黑体" w:hAnsi="黑体" w:cs="黑体" w:hint="eastAsia"/>
          <w:b/>
          <w:bCs/>
          <w:color w:val="000000"/>
          <w:sz w:val="32"/>
          <w:szCs w:val="32"/>
        </w:rPr>
      </w:pPr>
      <w:r>
        <w:rPr>
          <w:rFonts w:ascii="黑体" w:eastAsia="黑体" w:hAnsi="黑体" w:cs="黑体" w:hint="eastAsia"/>
          <w:b/>
          <w:bCs/>
          <w:color w:val="000000"/>
          <w:sz w:val="32"/>
          <w:szCs w:val="32"/>
        </w:rPr>
        <w:t xml:space="preserve">内容及材料组织顺序</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封面</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目录</w:t>
      </w:r>
    </w:p>
    <w:p>
      <w:pPr>
        <w:autoSpaceDE w:val="false"/>
        <w:autoSpaceDN w:val="false"/>
        <w:adjustRightInd w:val="false"/>
        <w:numPr>
          <w:ilvl w:val="0"/>
          <w:numId w:val="7"/>
        </w:num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关于参评资格的声明函（电子版材料中使用盖章扫描件）</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sz w:val="32"/>
          <w:szCs w:val="32"/>
        </w:rPr>
        <w:t xml:space="preserve">法定代表人授权委托书（电子版材料中使用盖章扫描件</w:t>
      </w:r>
      <w:r>
        <w:rPr>
          <w:rFonts w:ascii="仿宋_GB2312" w:eastAsia="仿宋_GB2312" w:hAnsi="仿宋_GB2312" w:cs="仿宋_GB2312"/>
          <w:b/>
          <w:sz w:val="32"/>
          <w:szCs w:val="32"/>
        </w:rPr>
        <w:t xml:space="preserve">）</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《道路运输许可证》</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商务部分</w:t>
      </w:r>
    </w:p>
    <w:p>
      <w:pPr>
        <w:autoSpaceDE w:val="false"/>
        <w:autoSpaceDN w:val="false"/>
        <w:adjustRightInd w:val="false"/>
        <w:spacing w:line="560" w:lineRule="exact"/>
        <w:ind w:left="72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FF0000"/>
          <w:sz w:val="32"/>
          <w:szCs w:val="32"/>
        </w:rPr>
        <w:t xml:space="preserve">请仔细阅读《成都空公联运平台企业评分标准》</w:t>
      </w:r>
      <w:r>
        <w:rPr>
          <w:rFonts w:ascii="仿宋_GB2312" w:eastAsia="仿宋_GB2312" w:hAnsi="仿宋_GB2312" w:cs="仿宋_GB2312" w:hint="eastAsia"/>
          <w:b/>
          <w:bCs/>
          <w:color w:val="FF0000"/>
          <w:sz w:val="32"/>
          <w:szCs w:val="32"/>
          <w:lang w:val="ru-RU"/>
        </w:rPr>
        <w:t xml:space="preserve">附件</w:t>
      </w:r>
      <w:r>
        <w:rPr>
          <w:rFonts w:ascii="仿宋_GB2312" w:eastAsia="仿宋_GB2312" w:hAnsi="仿宋_GB2312" w:cs="仿宋_GB2312" w:hint="eastAsia"/>
          <w:b/>
          <w:bCs/>
          <w:color w:val="FF0000"/>
          <w:sz w:val="32"/>
          <w:szCs w:val="32"/>
        </w:rPr>
        <w:t xml:space="preserve">6</w:t>
      </w:r>
      <w:r>
        <w:rPr>
          <w:rFonts w:ascii="仿宋_GB2312" w:eastAsia="仿宋_GB2312" w:hAnsi="仿宋_GB2312" w:cs="仿宋_GB2312" w:hint="eastAsia"/>
          <w:b/>
          <w:bCs/>
          <w:color w:val="FF0000"/>
          <w:sz w:val="32"/>
          <w:szCs w:val="32"/>
          <w:lang w:val="ru-RU"/>
        </w:rPr>
        <w:t xml:space="preserve">，</w:t>
      </w:r>
      <w:r>
        <w:rPr>
          <w:rFonts w:ascii="仿宋_GB2312" w:eastAsia="仿宋_GB2312" w:hAnsi="仿宋_GB2312" w:cs="仿宋_GB2312" w:hint="eastAsia"/>
          <w:b/>
          <w:bCs/>
          <w:color w:val="FF0000"/>
          <w:sz w:val="32"/>
          <w:szCs w:val="32"/>
        </w:rPr>
        <w:t xml:space="preserve">对照准备。材料为分公司的，需要提供本公司与分公司关系证明文件。除特别说明以外，子公司材料不得参评。</w:t>
      </w:r>
    </w:p>
    <w:p>
      <w:pPr>
        <w:autoSpaceDE w:val="false"/>
        <w:autoSpaceDN w:val="false"/>
        <w:adjustRightInd w:val="false"/>
        <w:numPr>
          <w:ilvl w:val="0"/>
          <w:numId w:val="4"/>
        </w:numPr>
        <w:spacing w:line="560" w:lineRule="exact"/>
        <w:ind w:left="156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企业</w:t>
      </w:r>
      <w:r>
        <w:rPr>
          <w:rFonts w:ascii="仿宋_GB2312" w:eastAsia="仿宋_GB2312" w:hAnsi="仿宋_GB2312" w:cs="仿宋_GB2312"/>
          <w:b/>
          <w:bCs/>
          <w:color w:val="000000"/>
          <w:sz w:val="32"/>
          <w:szCs w:val="32"/>
        </w:rPr>
        <w:t xml:space="preserve">概况</w:t>
      </w:r>
    </w:p>
    <w:p>
      <w:pPr>
        <w:autoSpaceDE w:val="false"/>
        <w:autoSpaceDN w:val="false"/>
        <w:adjustRightInd w:val="false"/>
        <w:spacing w:line="560" w:lineRule="exact"/>
        <w:ind w:left="640"/>
        <w:rPr>
          <w:rFonts w:ascii="仿宋_GB2312" w:eastAsia="仿宋_GB2312" w:hAnsi="仿宋_GB2312" w:cs="仿宋_GB2312" w:hint="eastAsia"/>
          <w:color w:val="000000"/>
          <w:sz w:val="32"/>
          <w:szCs w:val="32"/>
        </w:rPr>
      </w:pPr>
      <w:r>
        <w:rPr>
          <w:rFonts w:ascii="Calibri" w:eastAsia="仿宋_GB2312" w:hAnsi="Calibri" w:cs="Calibri"/>
          <w:color w:val="000000"/>
          <w:sz w:val="32"/>
          <w:szCs w:val="32"/>
        </w:rPr>
        <w:t xml:space="preserve">①</w:t>
      </w:r>
      <w:r>
        <w:rPr>
          <w:rFonts w:ascii="仿宋_GB2312" w:eastAsia="仿宋_GB2312" w:hAnsi="仿宋_GB2312" w:cs="仿宋_GB2312" w:hint="eastAsia"/>
          <w:color w:val="000000"/>
          <w:sz w:val="32"/>
          <w:szCs w:val="32"/>
        </w:rPr>
        <w:t xml:space="preserve">监管</w:t>
      </w:r>
      <w:r>
        <w:rPr>
          <w:rFonts w:ascii="仿宋_GB2312" w:eastAsia="仿宋_GB2312" w:hAnsi="仿宋_GB2312" w:cs="仿宋_GB2312"/>
          <w:color w:val="000000"/>
          <w:sz w:val="32"/>
          <w:szCs w:val="32"/>
        </w:rPr>
        <w:t xml:space="preserve">卡车运输资质</w:t>
      </w:r>
      <w:r>
        <w:rPr>
          <w:rFonts w:ascii="仿宋_GB2312" w:eastAsia="仿宋_GB2312" w:hAnsi="仿宋_GB2312" w:cs="仿宋_GB2312" w:hint="eastAsia"/>
          <w:color w:val="000000"/>
          <w:sz w:val="32"/>
          <w:szCs w:val="32"/>
        </w:rPr>
        <w:t xml:space="preserve">文件</w:t>
      </w:r>
    </w:p>
    <w:p>
      <w:pPr>
        <w:autoSpaceDE w:val="false"/>
        <w:autoSpaceDN w:val="false"/>
        <w:adjustRightInd w:val="false"/>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写明本公司（或本公司分公司）有无监管卡车运输资质，如有，需提供证明文件。</w:t>
      </w:r>
    </w:p>
    <w:p>
      <w:pPr>
        <w:autoSpaceDE w:val="false"/>
        <w:autoSpaceDN w:val="false"/>
        <w:adjustRightInd w:val="false"/>
        <w:spacing w:line="560" w:lineRule="exact"/>
        <w:ind w:left="640"/>
        <w:rPr>
          <w:rFonts w:ascii="仿宋_GB2312" w:eastAsia="仿宋_GB2312" w:hAnsi="仿宋_GB2312" w:cs="仿宋_GB2312" w:hint="eastAsia"/>
          <w:color w:val="000000"/>
          <w:sz w:val="32"/>
          <w:szCs w:val="32"/>
        </w:rPr>
      </w:pPr>
      <w:r>
        <w:rPr>
          <w:rFonts w:ascii="Calibri" w:eastAsia="仿宋_GB2312" w:hAnsi="Calibri" w:cs="Calibri"/>
          <w:color w:val="000000"/>
          <w:sz w:val="32"/>
          <w:szCs w:val="32"/>
        </w:rPr>
        <w:t xml:space="preserve">②</w:t>
      </w:r>
      <w:r>
        <w:rPr>
          <w:rFonts w:ascii="仿宋_GB2312" w:eastAsia="仿宋_GB2312" w:hAnsi="仿宋_GB2312" w:cs="仿宋_GB2312" w:hint="eastAsia"/>
          <w:color w:val="000000"/>
          <w:sz w:val="32"/>
          <w:szCs w:val="32"/>
        </w:rPr>
        <w:t xml:space="preserve">注册资金</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写明本公司（或本公司分公司）注册资金金额，提供《企业法人营业执照》进行证明（如执照中无法体现注册资本，则需提供其它材料进行证明）</w:t>
      </w:r>
    </w:p>
    <w:p>
      <w:pPr>
        <w:autoSpaceDE w:val="false"/>
        <w:autoSpaceDN w:val="false"/>
        <w:adjustRightInd w:val="false"/>
        <w:numPr>
          <w:ilvl w:val="0"/>
          <w:numId w:val="4"/>
        </w:numPr>
        <w:spacing w:line="560" w:lineRule="exact"/>
        <w:ind w:left="1560"/>
        <w:rPr>
          <w:rFonts w:ascii="仿宋_GB2312" w:eastAsia="仿宋_GB2312" w:hAnsi="仿宋_GB2312" w:cs="仿宋_GB2312" w:hint="eastAsia"/>
          <w:bCs/>
          <w:color w:val="000000"/>
          <w:sz w:val="32"/>
          <w:szCs w:val="32"/>
        </w:rPr>
      </w:pPr>
      <w:r>
        <w:rPr>
          <w:rFonts w:ascii="仿宋_GB2312" w:eastAsia="仿宋_GB2312" w:hAnsi="仿宋_GB2312" w:cs="仿宋_GB2312" w:hint="eastAsia"/>
          <w:b/>
          <w:bCs/>
          <w:color w:val="000000"/>
          <w:sz w:val="32"/>
          <w:szCs w:val="32"/>
        </w:rPr>
        <w:t xml:space="preserve">企业财务</w:t>
      </w:r>
      <w:r>
        <w:rPr>
          <w:rFonts w:ascii="仿宋_GB2312" w:eastAsia="仿宋_GB2312" w:hAnsi="仿宋_GB2312" w:cs="仿宋_GB2312"/>
          <w:b/>
          <w:bCs/>
          <w:color w:val="000000"/>
          <w:sz w:val="32"/>
          <w:szCs w:val="32"/>
        </w:rPr>
        <w:t xml:space="preserve">实力</w:t>
      </w:r>
    </w:p>
    <w:p>
      <w:pPr>
        <w:autoSpaceDE w:val="false"/>
        <w:autoSpaceDN w:val="false"/>
        <w:adjustRightInd w:val="false"/>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写明本公司（或本公司分公司）净资产（取资产负债表中“所有者权益”）金额后给出证明材料。</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注意：需提供经审计的2021年财务报告加盖单位公章进行佐证（未经审计的资料不得分）；如财务账目为外币计量的，按2021年12月31日中国人民银行公布的现汇牌价中间价进行折算。</w:t>
      </w:r>
    </w:p>
    <w:p>
      <w:pPr>
        <w:autoSpaceDE w:val="false"/>
        <w:autoSpaceDN w:val="false"/>
        <w:adjustRightInd w:val="false"/>
        <w:numPr>
          <w:ilvl w:val="0"/>
          <w:numId w:val="4"/>
        </w:numPr>
        <w:spacing w:line="560" w:lineRule="exact"/>
        <w:ind w:left="1560"/>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 xml:space="preserve">服务年限</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写明本公司（或本公司分公司）服务年限（以营业执照注册时间为准）后给出证明材料（营业执照，如前面注册资金版块已经提供营业执照的，此处可不重复提供，只标明营业执照所在页码）。</w:t>
      </w:r>
    </w:p>
    <w:p>
      <w:pPr>
        <w:autoSpaceDE w:val="false"/>
        <w:autoSpaceDN w:val="false"/>
        <w:adjustRightInd w:val="false"/>
        <w:numPr>
          <w:ilvl w:val="0"/>
          <w:numId w:val="4"/>
        </w:numPr>
        <w:spacing w:line="560" w:lineRule="exact"/>
        <w:ind w:left="156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航空</w:t>
      </w:r>
      <w:r>
        <w:rPr>
          <w:rFonts w:ascii="仿宋_GB2312" w:eastAsia="仿宋_GB2312" w:hAnsi="仿宋_GB2312" w:cs="仿宋_GB2312"/>
          <w:b/>
          <w:bCs/>
          <w:color w:val="000000"/>
          <w:sz w:val="32"/>
          <w:szCs w:val="32"/>
        </w:rPr>
        <w:t xml:space="preserve">货运服务经验</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写明本公司（或本公司分公司）可得分的每个服务对象、该服务对象在对应排行榜中的名次。</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注意：①排行榜共3种，分别为：在成都稳定运营的国际全货（及客改货）航线的航司（附件7）、2021年全球航空货运量前30名货运代理人（附件8）、2020年中国国际货代物流空运业务总收入前30名企业（附件9）。</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②所提供证明文件的协议对象为附件7、8、9所列公司的总部或驻华分子公司均可，如为分子公司请注明“（……的分公司）”或“……的子公司”。如该分子公司与母公司名称无关联，则需提供其与母公司关系证明。</w:t>
      </w:r>
    </w:p>
    <w:p>
      <w:pPr>
        <w:autoSpaceDE w:val="false"/>
        <w:autoSpaceDN w:val="false"/>
        <w:adjustRightInd w:val="false"/>
        <w:numPr>
          <w:ilvl w:val="0"/>
          <w:numId w:val="4"/>
        </w:numPr>
        <w:spacing w:line="560" w:lineRule="exact"/>
        <w:ind w:left="156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品牌</w:t>
      </w:r>
      <w:r>
        <w:rPr>
          <w:rFonts w:ascii="仿宋_GB2312" w:eastAsia="仿宋_GB2312" w:hAnsi="仿宋_GB2312" w:cs="仿宋_GB2312"/>
          <w:b/>
          <w:bCs/>
          <w:color w:val="000000"/>
          <w:sz w:val="32"/>
          <w:szCs w:val="32"/>
        </w:rPr>
        <w:t xml:space="preserve">影响力</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写明本公司（或本公司分公司）所获认证的名称及认证机构、所获荣誉名称及颁荣誉发机构、所承办项目名称及项目发起单位。</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注意：需提供质量管理体系认证、行业协会认证或国家重大项目运营情况等能够反映投资人品牌影响力的材料。</w:t>
      </w:r>
    </w:p>
    <w:p>
      <w:pPr>
        <w:autoSpaceDE w:val="false"/>
        <w:autoSpaceDN w:val="false"/>
        <w:adjustRightInd w:val="false"/>
        <w:spacing w:line="560" w:lineRule="exact"/>
        <w:ind w:left="4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7.技术</w:t>
      </w:r>
      <w:r>
        <w:rPr>
          <w:rFonts w:ascii="仿宋_GB2312" w:eastAsia="仿宋_GB2312" w:hAnsi="仿宋_GB2312" w:cs="仿宋_GB2312"/>
          <w:b/>
          <w:bCs/>
          <w:color w:val="000000"/>
          <w:sz w:val="32"/>
          <w:szCs w:val="32"/>
        </w:rPr>
        <w:t xml:space="preserve">部分</w:t>
      </w:r>
    </w:p>
    <w:p>
      <w:pPr>
        <w:autoSpaceDE w:val="false"/>
        <w:autoSpaceDN w:val="false"/>
        <w:adjustRightInd w:val="false"/>
        <w:spacing w:line="560" w:lineRule="exact"/>
        <w:ind w:left="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FF0000"/>
          <w:sz w:val="32"/>
          <w:szCs w:val="32"/>
        </w:rPr>
        <w:t xml:space="preserve">请仔细阅读《成都空公联运平台企业评分标准》</w:t>
      </w:r>
      <w:r>
        <w:rPr>
          <w:rFonts w:ascii="仿宋_GB2312" w:eastAsia="仿宋_GB2312" w:hAnsi="仿宋_GB2312" w:cs="仿宋_GB2312" w:hint="eastAsia"/>
          <w:b/>
          <w:bCs/>
          <w:color w:val="FF0000"/>
          <w:sz w:val="32"/>
          <w:szCs w:val="32"/>
          <w:lang w:val="ru-RU"/>
        </w:rPr>
        <w:t xml:space="preserve">附件</w:t>
      </w:r>
      <w:r>
        <w:rPr>
          <w:rFonts w:ascii="仿宋_GB2312" w:eastAsia="仿宋_GB2312" w:hAnsi="仿宋_GB2312" w:cs="仿宋_GB2312" w:hint="eastAsia"/>
          <w:b/>
          <w:bCs/>
          <w:color w:val="FF0000"/>
          <w:sz w:val="32"/>
          <w:szCs w:val="32"/>
        </w:rPr>
        <w:t xml:space="preserve">6</w:t>
      </w:r>
      <w:r>
        <w:rPr>
          <w:rFonts w:ascii="仿宋_GB2312" w:eastAsia="仿宋_GB2312" w:hAnsi="仿宋_GB2312" w:cs="仿宋_GB2312" w:hint="eastAsia"/>
          <w:b/>
          <w:bCs/>
          <w:color w:val="FF0000"/>
          <w:sz w:val="32"/>
          <w:szCs w:val="32"/>
          <w:lang w:val="ru-RU"/>
        </w:rPr>
        <w:t xml:space="preserve">，</w:t>
      </w:r>
      <w:r>
        <w:rPr>
          <w:rFonts w:ascii="仿宋_GB2312" w:eastAsia="仿宋_GB2312" w:hAnsi="仿宋_GB2312" w:cs="仿宋_GB2312" w:hint="eastAsia"/>
          <w:b/>
          <w:bCs/>
          <w:color w:val="FF0000"/>
          <w:sz w:val="32"/>
          <w:szCs w:val="32"/>
        </w:rPr>
        <w:t xml:space="preserve">对照准备。材料为分公司的，需要提供本公司与分公司关系证明文件。除特别说明以外，子公司材料不得参评。</w:t>
      </w:r>
    </w:p>
    <w:p>
      <w:pPr>
        <w:autoSpaceDE w:val="false"/>
        <w:autoSpaceDN w:val="false"/>
        <w:adjustRightInd w:val="false"/>
        <w:numPr>
          <w:ilvl w:val="0"/>
          <w:numId w:val="6"/>
        </w:numPr>
        <w:spacing w:line="560" w:lineRule="exact"/>
        <w:ind w:left="1134" w:hanging="49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风险防范能力</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写明本公司（或本公司分公司）全年物流责任险（或货物运输险、综合险）单次赔偿限额，公司全年累计物流责任险（或货物运输险、综合险）赔偿限额。</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注意：需提供有效保单进行证明。</w:t>
      </w:r>
    </w:p>
    <w:p>
      <w:pPr>
        <w:autoSpaceDE w:val="false"/>
        <w:autoSpaceDN w:val="false"/>
        <w:adjustRightInd w:val="false"/>
        <w:numPr>
          <w:ilvl w:val="0"/>
          <w:numId w:val="6"/>
        </w:numPr>
        <w:spacing w:line="560" w:lineRule="exact"/>
        <w:ind w:left="14" w:firstLine="626"/>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物流系统建设完善程度及配合</w:t>
      </w:r>
      <w:r>
        <w:rPr>
          <w:rFonts w:ascii="仿宋_GB2312" w:eastAsia="仿宋_GB2312" w:hAnsi="仿宋_GB2312" w:cs="仿宋_GB2312"/>
          <w:b/>
          <w:bCs/>
          <w:color w:val="000000"/>
          <w:sz w:val="32"/>
          <w:szCs w:val="32"/>
        </w:rPr>
        <w:t xml:space="preserve">成都空公联运政策的服务方案</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对本公司现有物流管理系统如何配合完成《成都空公联运平台企业工作方案》（附件1）进行详细描述。对进港（航空转公路）、出港（公路转航空）货物联运流程中本公司物流系统、车辆定位系统等信息系统如何记录信息及监控货物状态进行描述。描述公司如何通过管理手段消除四川省内货物冒充省外货的可能性。</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注意：信息系统难以通过纸质版文件呈现，参评文件可以仅呈现流程图或信息系统的相关截图并配以简单文字描述。参评期间，参评人应提前做好准备通过屏幕共享方式对本公司物流系统、车辆定位系统等进行现场展示（如提前打开相关网页、加载内容等）。</w:t>
      </w:r>
    </w:p>
    <w:p>
      <w:pPr>
        <w:autoSpaceDE w:val="false"/>
        <w:autoSpaceDN w:val="false"/>
        <w:adjustRightInd w:val="false"/>
        <w:numPr>
          <w:ilvl w:val="0"/>
          <w:numId w:val="6"/>
        </w:numPr>
        <w:spacing w:line="560" w:lineRule="exact"/>
        <w:ind w:left="14" w:firstLine="626"/>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运营保障能力</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①写明本公司（或本公司分公司）车辆规模（自有车辆数量或总载重量），企业自有车辆需提供含车牌号、所有人信息的列表，“所有人”需为本公司或本公司分公司。</w:t>
      </w:r>
    </w:p>
    <w:p>
      <w:pPr>
        <w:autoSpaceDE w:val="false"/>
        <w:autoSpaceDN w:val="false"/>
        <w:adjustRightInd w:val="false"/>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②写明本公司（或本公司分公司）哪些城市可做揽货区域，提供证明材料。网络规模（在某城市的揽货能力）可提供以下三者至少之一作为证明文件。A.往返或单程通往该城市公路运输服务协议；B.注册地为该城市的分公司或子公司（分公司、子公司需提供与参评单位的关系证明）；C.本公司或分公司（分公司需提供与参评单位的关系证明）在该城市的仓库租赁协议或自营仓库的营业执照。</w:t>
      </w:r>
    </w:p>
    <w:p>
      <w:pPr>
        <w:autoSpaceDE w:val="false"/>
        <w:autoSpaceDN w:val="false"/>
        <w:adjustRightInd w:val="false"/>
        <w:spacing w:line="560" w:lineRule="exact"/>
        <w:ind w:firstLineChars="200" w:firstLine="640"/>
        <w:rPr/>
      </w:pPr>
      <w:r>
        <w:rPr>
          <w:rFonts w:ascii="仿宋_GB2312" w:eastAsia="仿宋_GB2312" w:hAnsi="仿宋_GB2312" w:cs="仿宋_GB2312" w:hint="eastAsia"/>
          <w:color w:val="000000"/>
          <w:sz w:val="32"/>
          <w:szCs w:val="32"/>
        </w:rPr>
        <w:t xml:space="preserve">③写明本公司（或本公司分公司、子公司）仓库面积是多少，提供证明材料。仓库面积需提供本公司或分公司（分公司需提供与参评单位的关系证明）在该城市的仓库租赁协议或自营仓库的营业执照佐证。（如在“网络规模”证明材料中已提供相应仓库证明材料，则此处可不重复提供，仅列出材料名称及对应页码即可。）</w:t>
      </w: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multilevel"/>
    <w:lvl w:ilvl="0">
      <w:start w:val="1"/>
      <w:numFmt w:val="japaneseCounting"/>
      <w:suff w:val="tab"/>
      <w:lvlText w:val="%1、"/>
      <w:pPr>
        <w:spacing/>
        <w:ind w:left="720" w:hanging="720"/>
      </w:pPr>
      <w:rPr>
        <w:rFonts w:hint="default"/>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3">
    <w:multiLevelType w:val="multilevel"/>
    <w:lvl w:ilvl="0">
      <w:start w:val="1"/>
      <w:numFmt w:val="decimal"/>
      <w:suff w:val="tab"/>
      <w:lvlText w:val="（%1）"/>
      <w:pPr>
        <w:spacing/>
        <w:ind w:left="2160" w:hanging="1080"/>
      </w:pPr>
      <w:rPr>
        <w:rFonts w:hint="default"/>
        <w:lang w:val="en-US"/>
      </w:rPr>
    </w:lvl>
    <w:lvl w:ilvl="1">
      <w:start w:val="1"/>
      <w:numFmt w:val="lowerLetter"/>
      <w:suff w:val="tab"/>
      <w:lvlText w:val="%2)"/>
      <w:pPr>
        <w:spacing/>
        <w:ind w:left="1920" w:hanging="420"/>
      </w:pPr>
      <w:rPr/>
    </w:lvl>
    <w:lvl w:ilvl="2">
      <w:start w:val="1"/>
      <w:numFmt w:val="lowerRoman"/>
      <w:suff w:val="tab"/>
      <w:lvlText w:val="%3."/>
      <w:lvlJc w:val="right"/>
      <w:pPr>
        <w:spacing/>
        <w:ind w:left="2340" w:hanging="420"/>
      </w:pPr>
      <w:rPr/>
    </w:lvl>
    <w:lvl w:ilvl="3">
      <w:start w:val="1"/>
      <w:numFmt w:val="decimal"/>
      <w:suff w:val="tab"/>
      <w:lvlText w:val="%4."/>
      <w:pPr>
        <w:spacing/>
        <w:ind w:left="2760" w:hanging="420"/>
      </w:pPr>
      <w:rPr/>
    </w:lvl>
    <w:lvl w:ilvl="4">
      <w:start w:val="1"/>
      <w:numFmt w:val="lowerLetter"/>
      <w:suff w:val="tab"/>
      <w:lvlText w:val="%5)"/>
      <w:pPr>
        <w:spacing/>
        <w:ind w:left="3180" w:hanging="420"/>
      </w:pPr>
      <w:rPr/>
    </w:lvl>
    <w:lvl w:ilvl="5">
      <w:start w:val="1"/>
      <w:numFmt w:val="lowerRoman"/>
      <w:suff w:val="tab"/>
      <w:lvlText w:val="%6."/>
      <w:lvlJc w:val="right"/>
      <w:pPr>
        <w:spacing/>
        <w:ind w:left="3600" w:hanging="420"/>
      </w:pPr>
      <w:rPr/>
    </w:lvl>
    <w:lvl w:ilvl="6">
      <w:start w:val="1"/>
      <w:numFmt w:val="decimal"/>
      <w:suff w:val="tab"/>
      <w:lvlText w:val="%7."/>
      <w:pPr>
        <w:spacing/>
        <w:ind w:left="4020" w:hanging="420"/>
      </w:pPr>
      <w:rPr/>
    </w:lvl>
    <w:lvl w:ilvl="7">
      <w:start w:val="1"/>
      <w:numFmt w:val="lowerLetter"/>
      <w:suff w:val="tab"/>
      <w:lvlText w:val="%8)"/>
      <w:pPr>
        <w:spacing/>
        <w:ind w:left="4440" w:hanging="420"/>
      </w:pPr>
      <w:rPr/>
    </w:lvl>
    <w:lvl w:ilvl="8">
      <w:start w:val="1"/>
      <w:numFmt w:val="lowerRoman"/>
      <w:suff w:val="tab"/>
      <w:lvlText w:val="%9."/>
      <w:lvlJc w:val="right"/>
      <w:pPr>
        <w:spacing/>
        <w:ind w:left="4860" w:hanging="420"/>
      </w:pPr>
      <w:rPr/>
    </w:lvl>
  </w:abstractNum>
  <w:abstractNum w:abstractNumId="4">
    <w:multiLevelType w:val="multilevel"/>
    <w:lvl w:ilvl="0">
      <w:start w:val="1"/>
      <w:numFmt w:val="decimal"/>
      <w:suff w:val="tab"/>
      <w:lvlText w:val="%1."/>
      <w:pPr>
        <w:spacing/>
        <w:ind w:left="1080" w:hanging="360"/>
      </w:pPr>
      <w:rPr>
        <w:rFonts w:hint="default"/>
      </w:rPr>
    </w:lvl>
    <w:lvl w:ilvl="1">
      <w:start w:val="1"/>
      <w:numFmt w:val="lowerLetter"/>
      <w:suff w:val="tab"/>
      <w:lvlText w:val="%2)"/>
      <w:pPr>
        <w:spacing/>
        <w:ind w:left="1560" w:hanging="420"/>
      </w:pPr>
      <w:rPr/>
    </w:lvl>
    <w:lvl w:ilvl="2">
      <w:start w:val="1"/>
      <w:numFmt w:val="lowerRoman"/>
      <w:suff w:val="tab"/>
      <w:lvlText w:val="%3."/>
      <w:lvlJc w:val="right"/>
      <w:pPr>
        <w:spacing/>
        <w:ind w:left="1980" w:hanging="420"/>
      </w:pPr>
      <w:rPr/>
    </w:lvl>
    <w:lvl w:ilvl="3">
      <w:start w:val="1"/>
      <w:numFmt w:val="decimal"/>
      <w:suff w:val="tab"/>
      <w:lvlText w:val="%4."/>
      <w:pPr>
        <w:spacing/>
        <w:ind w:left="2400" w:hanging="420"/>
      </w:pPr>
      <w:rPr/>
    </w:lvl>
    <w:lvl w:ilvl="4">
      <w:start w:val="1"/>
      <w:numFmt w:val="lowerLetter"/>
      <w:suff w:val="tab"/>
      <w:lvlText w:val="%5)"/>
      <w:pPr>
        <w:spacing/>
        <w:ind w:left="2820" w:hanging="420"/>
      </w:pPr>
      <w:rPr/>
    </w:lvl>
    <w:lvl w:ilvl="5">
      <w:start w:val="1"/>
      <w:numFmt w:val="lowerRoman"/>
      <w:suff w:val="tab"/>
      <w:lvlText w:val="%6."/>
      <w:lvlJc w:val="right"/>
      <w:pPr>
        <w:spacing/>
        <w:ind w:left="3240" w:hanging="420"/>
      </w:pPr>
      <w:rPr/>
    </w:lvl>
    <w:lvl w:ilvl="6">
      <w:start w:val="1"/>
      <w:numFmt w:val="decimal"/>
      <w:suff w:val="tab"/>
      <w:lvlText w:val="%7."/>
      <w:pPr>
        <w:spacing/>
        <w:ind w:left="3660" w:hanging="420"/>
      </w:pPr>
      <w:rPr/>
    </w:lvl>
    <w:lvl w:ilvl="7">
      <w:start w:val="1"/>
      <w:numFmt w:val="lowerLetter"/>
      <w:suff w:val="tab"/>
      <w:lvlText w:val="%8)"/>
      <w:pPr>
        <w:spacing/>
        <w:ind w:left="4080" w:hanging="420"/>
      </w:pPr>
      <w:rPr/>
    </w:lvl>
    <w:lvl w:ilvl="8">
      <w:start w:val="1"/>
      <w:numFmt w:val="lowerRoman"/>
      <w:suff w:val="tab"/>
      <w:lvlText w:val="%9."/>
      <w:lvlJc w:val="right"/>
      <w:pPr>
        <w:spacing/>
        <w:ind w:left="4500" w:hanging="420"/>
      </w:pPr>
      <w:rPr/>
    </w:lvl>
  </w:abstractNum>
  <w:abstractNum w:abstractNumId="5">
    <w:multiLevelType w:val="multilevel"/>
    <w:lvl w:ilvl="0">
      <w:start w:val="1"/>
      <w:numFmt w:val="decimal"/>
      <w:suff w:val="tab"/>
      <w:lvlText w:val="（%1）"/>
      <w:pPr>
        <w:spacing/>
        <w:ind w:left="2160" w:hanging="1080"/>
      </w:pPr>
      <w:rPr>
        <w:rFonts w:hint="default"/>
      </w:rPr>
    </w:lvl>
    <w:lvl w:ilvl="1">
      <w:start w:val="1"/>
      <w:numFmt w:val="lowerLetter"/>
      <w:suff w:val="tab"/>
      <w:lvlText w:val="%2)"/>
      <w:pPr>
        <w:spacing/>
        <w:ind w:left="1920" w:hanging="420"/>
      </w:pPr>
      <w:rPr/>
    </w:lvl>
    <w:lvl w:ilvl="2">
      <w:start w:val="1"/>
      <w:numFmt w:val="lowerRoman"/>
      <w:suff w:val="tab"/>
      <w:lvlText w:val="%3."/>
      <w:lvlJc w:val="right"/>
      <w:pPr>
        <w:spacing/>
        <w:ind w:left="2340" w:hanging="420"/>
      </w:pPr>
      <w:rPr/>
    </w:lvl>
    <w:lvl w:ilvl="3">
      <w:start w:val="1"/>
      <w:numFmt w:val="decimal"/>
      <w:suff w:val="tab"/>
      <w:lvlText w:val="%4."/>
      <w:pPr>
        <w:spacing/>
        <w:ind w:left="2760" w:hanging="420"/>
      </w:pPr>
      <w:rPr/>
    </w:lvl>
    <w:lvl w:ilvl="4">
      <w:start w:val="1"/>
      <w:numFmt w:val="lowerLetter"/>
      <w:suff w:val="tab"/>
      <w:lvlText w:val="%5)"/>
      <w:pPr>
        <w:spacing/>
        <w:ind w:left="3180" w:hanging="420"/>
      </w:pPr>
      <w:rPr/>
    </w:lvl>
    <w:lvl w:ilvl="5">
      <w:start w:val="1"/>
      <w:numFmt w:val="lowerRoman"/>
      <w:suff w:val="tab"/>
      <w:lvlText w:val="%6."/>
      <w:lvlJc w:val="right"/>
      <w:pPr>
        <w:spacing/>
        <w:ind w:left="3600" w:hanging="420"/>
      </w:pPr>
      <w:rPr/>
    </w:lvl>
    <w:lvl w:ilvl="6">
      <w:start w:val="1"/>
      <w:numFmt w:val="decimal"/>
      <w:suff w:val="tab"/>
      <w:lvlText w:val="%7."/>
      <w:pPr>
        <w:spacing/>
        <w:ind w:left="4020" w:hanging="420"/>
      </w:pPr>
      <w:rPr/>
    </w:lvl>
    <w:lvl w:ilvl="7">
      <w:start w:val="1"/>
      <w:numFmt w:val="lowerLetter"/>
      <w:suff w:val="tab"/>
      <w:lvlText w:val="%8)"/>
      <w:pPr>
        <w:spacing/>
        <w:ind w:left="4440" w:hanging="420"/>
      </w:pPr>
      <w:rPr/>
    </w:lvl>
    <w:lvl w:ilvl="8">
      <w:start w:val="1"/>
      <w:numFmt w:val="lowerRoman"/>
      <w:suff w:val="tab"/>
      <w:lvlText w:val="%9."/>
      <w:lvlJc w:val="right"/>
      <w:pPr>
        <w:spacing/>
        <w:ind w:left="4860" w:hanging="420"/>
      </w:pPr>
      <w:rPr/>
    </w:lvl>
  </w:abstractNum>
  <w:abstractNum w:abstractNumId="6">
    <w:multiLevelType w:val="multilevel"/>
    <w:lvl w:ilvl="0">
      <w:start w:val="1"/>
      <w:numFmt w:val="decimal"/>
      <w:suff w:val="tab"/>
      <w:lvlText w:val="%1."/>
      <w:pPr>
        <w:spacing/>
        <w:ind w:left="1080" w:hanging="360"/>
      </w:pPr>
      <w:rPr>
        <w:rFonts w:hint="default"/>
      </w:rPr>
    </w:lvl>
    <w:lvl w:ilvl="1">
      <w:start w:val="1"/>
      <w:numFmt w:val="lowerLetter"/>
      <w:suff w:val="tab"/>
      <w:lvlText w:val="%2)"/>
      <w:pPr>
        <w:spacing/>
        <w:ind w:left="1560" w:hanging="420"/>
      </w:pPr>
      <w:rPr/>
    </w:lvl>
    <w:lvl w:ilvl="2">
      <w:start w:val="1"/>
      <w:numFmt w:val="lowerRoman"/>
      <w:suff w:val="tab"/>
      <w:lvlText w:val="%3."/>
      <w:lvlJc w:val="right"/>
      <w:pPr>
        <w:spacing/>
        <w:ind w:left="1980" w:hanging="420"/>
      </w:pPr>
      <w:rPr/>
    </w:lvl>
    <w:lvl w:ilvl="3">
      <w:start w:val="1"/>
      <w:numFmt w:val="decimal"/>
      <w:suff w:val="tab"/>
      <w:lvlText w:val="%4."/>
      <w:pPr>
        <w:spacing/>
        <w:ind w:left="2400" w:hanging="420"/>
      </w:pPr>
      <w:rPr/>
    </w:lvl>
    <w:lvl w:ilvl="4">
      <w:start w:val="1"/>
      <w:numFmt w:val="lowerLetter"/>
      <w:suff w:val="tab"/>
      <w:lvlText w:val="%5)"/>
      <w:pPr>
        <w:spacing/>
        <w:ind w:left="2820" w:hanging="420"/>
      </w:pPr>
      <w:rPr/>
    </w:lvl>
    <w:lvl w:ilvl="5">
      <w:start w:val="1"/>
      <w:numFmt w:val="lowerRoman"/>
      <w:suff w:val="tab"/>
      <w:lvlText w:val="%6."/>
      <w:lvlJc w:val="right"/>
      <w:pPr>
        <w:spacing/>
        <w:ind w:left="3240" w:hanging="420"/>
      </w:pPr>
      <w:rPr/>
    </w:lvl>
    <w:lvl w:ilvl="6">
      <w:start w:val="1"/>
      <w:numFmt w:val="decimal"/>
      <w:suff w:val="tab"/>
      <w:lvlText w:val="%7."/>
      <w:pPr>
        <w:spacing/>
        <w:ind w:left="3660" w:hanging="420"/>
      </w:pPr>
      <w:rPr/>
    </w:lvl>
    <w:lvl w:ilvl="7">
      <w:start w:val="1"/>
      <w:numFmt w:val="lowerLetter"/>
      <w:suff w:val="tab"/>
      <w:lvlText w:val="%8)"/>
      <w:pPr>
        <w:spacing/>
        <w:ind w:left="4080" w:hanging="420"/>
      </w:pPr>
      <w:rPr/>
    </w:lvl>
    <w:lvl w:ilvl="8">
      <w:start w:val="1"/>
      <w:numFmt w:val="lowerRoman"/>
      <w:suff w:val="tab"/>
      <w:lvlText w:val="%9."/>
      <w:lvlJc w:val="right"/>
      <w:pPr>
        <w:spacing/>
        <w:ind w:left="450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等线"/>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Indent"/>
    <w:qFormat/>
    <w:pPr>
      <w:widowControl w:val="false"/>
      <w:spacing/>
      <w:jc w:val="both"/>
    </w:pPr>
    <w:rPr>
      <w:rFonts w:ascii="Times New Roman" w:eastAsia="宋体" w:hAnsi="Times New Roman" w:cs="Times New Roman"/>
      <w:sz w:val="21"/>
      <w:szCs w:val="24"/>
      <w:lang w:val="en-US" w:eastAsia="zh-CN" w:bidi="ar-SA"/>
    </w:rPr>
  </w:style>
  <w:style w:type="character" w:styleId="6" w:default="1">
    <w:name w:val="Default Paragraph Font"/>
    <w:semiHidden/>
    <w:unhideWhenUsed/>
    <w:rPr/>
  </w:style>
  <w:style w:type="table" w:styleId="5" w:default="1">
    <w:name w:val="Normal Table"/>
    <w:semiHidden/>
    <w:unhideWhenUsed/>
    <w:tblPr>
      <w:tblCellMar>
        <w:top w:w="0" w:type="dxa"/>
        <w:left w:w="108" w:type="dxa"/>
        <w:bottom w:w="0" w:type="dxa"/>
        <w:right w:w="108" w:type="dxa"/>
      </w:tblCellMar>
    </w:tblPr>
  </w:style>
  <w:style w:type="paragraph" w:styleId="2">
    <w:name w:val="Normal Indent"/>
    <w:basedOn w:val="1"/>
    <w:semiHidden/>
    <w:unhideWhenUsed/>
    <w:pPr>
      <w:spacing/>
      <w:ind w:firstLineChars="200" w:firstLine="420"/>
    </w:pPr>
    <w:rPr/>
  </w:style>
  <w:style w:type="paragraph" w:styleId="3">
    <w:name w:val="Footer"/>
    <w:basedOn w:val="1"/>
    <w:link w:val="页脚字符"/>
    <w:unhideWhenUsed/>
    <w:pPr>
      <w:snapToGrid w:val="false"/>
      <w:tabs>
        <w:tab w:pos="4153" w:val="center"/>
        <w:tab w:pos="8306" w:val="right"/>
      </w:tabs>
      <w:spacing/>
      <w:jc w:val="left"/>
    </w:pPr>
    <w:rPr>
      <w:sz w:val="18"/>
      <w:szCs w:val="18"/>
    </w:rPr>
  </w:style>
  <w:style w:type="paragraph" w:styleId="4">
    <w:name w:val="Header"/>
    <w:basedOn w:val="1"/>
    <w:link w:val="页眉字符"/>
    <w:unhideWhenUsed/>
    <w:pPr>
      <w:snapToGrid w:val="false"/>
      <w:pBdr>
        <w:bottom w:val="single" w:sz="6" w:space="20" w:color="000000"/>
      </w:pBdr>
      <w:tabs>
        <w:tab w:pos="4153" w:val="center"/>
        <w:tab w:pos="8306" w:val="right"/>
      </w:tabs>
      <w:spacing/>
      <w:jc w:val="center"/>
    </w:pPr>
    <w:rPr>
      <w:sz w:val="18"/>
      <w:szCs w:val="18"/>
    </w:rPr>
  </w:style>
  <w:style w:type="character" w:styleId="7" w:customStyle="1">
    <w:name w:val="页眉 字符"/>
    <w:basedOn w:val="6"/>
    <w:link w:val="Header"/>
    <w:rPr>
      <w:sz w:val="18"/>
      <w:szCs w:val="18"/>
    </w:rPr>
  </w:style>
  <w:style w:type="character" w:styleId="8" w:customStyle="1">
    <w:name w:val="页脚 字符"/>
    <w:basedOn w:val="6"/>
    <w:link w:val="Footer"/>
    <w:qFormat/>
    <w:rPr>
      <w:sz w:val="18"/>
      <w:szCs w:val="18"/>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5</Pages>
  <Words>2057</Words>
  <Characters>2131</Characters>
  <Application/>
  <DocSecurity>0</DocSecurity>
  <Lines>15</Lines>
  <Paragraphs>4</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2022-07-27T03:32:00Z</dcterms:created>
  <dcterms:modified xsi:type="dcterms:W3CDTF">2022-07-27T07:31:58Z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