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成都</w:t>
      </w:r>
      <w:r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  <w:t>双流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国际机场</w:t>
      </w:r>
      <w:r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  <w:t>T2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航站楼商业</w:t>
      </w:r>
    </w:p>
    <w:p>
      <w:pPr>
        <w:jc w:val="center"/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招</w:t>
      </w: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标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推介会答疑</w:t>
      </w: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（</w:t>
      </w:r>
      <w:r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  <w:t>2023年3月</w:t>
      </w: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）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问题1：2023-2027年双流机场吞吐量预测，客流大幅增长的客观依据？</w:t>
      </w:r>
    </w:p>
    <w:p>
      <w:pPr>
        <w:ind w:firstLine="3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答复：2023年旅客吞吐量是根据目前民航局批准的双流机场计划架次，并结合本场航班执行率、单机载客量进行的预测；2024年～2027年双流机场旅客吞吐量是按照航班计划量提升空间、保障能力水平、未来航空市场环境分析、吞吐量历史增长规律，并结合航班执行率、单机载客量，以及其他同体量机场发展水平等综合因素进行的分析测算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问题2：川航作为省内主要航空公司之一，在双流机场T1改造完毕后，回到T1还是保留在T2运营？</w:t>
      </w:r>
    </w:p>
    <w:p>
      <w:pPr>
        <w:numPr>
          <w:ilvl w:val="0"/>
          <w:numId w:val="0"/>
        </w:numPr>
        <w:ind w:firstLine="3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答复：双流机场T1改造完毕后，川航将按计划迁回T1运行。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问题3：2024年，双流机场完成全面改造后，与天府机场的客旅量分布比例如何计划？</w:t>
      </w:r>
    </w:p>
    <w:p>
      <w:pPr>
        <w:ind w:firstLine="3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答复：双流机场旅客吞吐量数据详见招商手册或招标文件。天府机场旅客吞吐量数据请咨询天府机场相关部门。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问题4：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双流机场1号及2号航站楼全面改造完毕后，客旅量分布比例如何计划？</w:t>
      </w:r>
    </w:p>
    <w:p>
      <w:pPr>
        <w:ind w:firstLine="3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答复：双流机场全面改造完毕后，根据公司目前预测，T1航站楼客流预计占总吞吐量约30%，T2航站楼客流预计占总吞吐量约70%。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问题5：招商品牌库是否有？如有，可否提供或参考标准？如果存在非品牌库内的投标品牌，是否允许？</w:t>
      </w:r>
    </w:p>
    <w:p>
      <w:pPr>
        <w:ind w:firstLine="3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答复：本次公开招标文件综合评标办法中部分业态设置了招商品牌库，详见招标文件。</w:t>
      </w:r>
    </w:p>
    <w:p>
      <w:pPr>
        <w:ind w:firstLine="3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非品牌库的品牌要求也详见招标文件的综合评标办法。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问题6：品牌代理授权书要求独家或非独家？</w:t>
      </w:r>
    </w:p>
    <w:p>
      <w:pPr>
        <w:ind w:firstLine="300"/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>答复：非直营店铺须提供品牌授权委托书，具体要求请详见招标文件。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问题7：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锦上花开标段内，第155-156登机口中间的位置，未来的规划是休息室还是商业项目？</w:t>
      </w:r>
    </w:p>
    <w:p>
      <w:pPr>
        <w:ind w:firstLine="300"/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>答复：EF连廊两舱休息室规划为商业项目，该点位未在“锦上花开”标段内，将纳入后期招商。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问题8：</w:t>
      </w:r>
      <w:r>
        <w:rPr>
          <w:rFonts w:ascii="仿宋" w:eastAsia="仿宋" w:hAnsi="仿宋" w:cs="仿宋" w:hint="eastAsia"/>
          <w:b/>
          <w:bCs/>
          <w:sz w:val="30"/>
          <w:szCs w:val="30"/>
          <w:highlight w:val="none"/>
        </w:rPr>
        <w:t>中标者的起租日是否从全新玻璃幕墙店铺的交付日起算，合约五年？</w:t>
      </w:r>
    </w:p>
    <w:p>
      <w:pPr>
        <w:numPr>
          <w:ilvl w:val="0"/>
          <w:numId w:val="0"/>
        </w:numPr>
        <w:rPr>
          <w:rFonts w:ascii="仿宋" w:eastAsia="仿宋" w:hAnsi="仿宋" w:cs="仿宋" w:hint="default"/>
          <w:b/>
          <w:bCs/>
          <w:sz w:val="30"/>
          <w:szCs w:val="30"/>
          <w:highlight w:val="yellow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>答复：合同期是从招标人向中标人交付场地之日起计算，经营期限将根据招标人实际改造该商业区域所占用时间相应延长，装修免租期、起租日的规定详见招标文件。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问题9：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锦上花开标段18家店铺的交付分几个阶段，分别在几月? </w:t>
      </w:r>
    </w:p>
    <w:p>
      <w:pPr>
        <w:numPr>
          <w:ilvl w:val="0"/>
          <w:numId w:val="0"/>
        </w:numPr>
        <w:rPr>
          <w:rFonts w:ascii="仿宋" w:eastAsia="仿宋" w:hAnsi="仿宋" w:cs="仿宋" w:hint="default"/>
          <w:b w:val="0"/>
          <w:bCs w:val="0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 xml:space="preserve"> 答复：锦上花开标段18个店铺交付按照3个阶段交付给中标者，预计在2023年5月、2024年2月、2024年6月分区域交付，详见招标文件。若交付时间发生变化，以实际交付时间为准。</w:t>
      </w:r>
    </w:p>
    <w:p>
      <w:pPr>
        <w:numPr>
          <w:ilvl w:val="0"/>
          <w:numId w:val="1"/>
        </w:numPr>
        <w:ind w:left="420" w:hanging="42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问题10：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整个T2航站楼的改造工程起止时间如何计划？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是否出现锦上花开标段交付后，整个航站楼仍处于其他标段改造的并行阶段？如有，时长多久？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1）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免租期多久？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底租价格在什么水平？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四月公布中标后，直至锦上花开始改造工程，中间间隔半年。传闻机场要求中标者以简装经营作为投标的必须附加条件，是否属实？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- 以何租金水平简装经营？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- 简装期是否纳入5年合同期内？还是5年合同期外？</w:t>
      </w:r>
    </w:p>
    <w:p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- 涉及航站楼改造期间中止经营，无法临时性规划货品，2247平方简装的装修成本压力，以及人员工资成本及雇佣关系的跨期间存续压力，将很大程度阻碍投标者的脚步。</w:t>
      </w:r>
    </w:p>
    <w:p>
      <w:pPr>
        <w:ind w:firstLine="300"/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>答复：1.由于T2航站楼商业改造处于不停航施工，锦上花开标段交付后，可能存在其他标段并行改造，预计整个航站楼商业改造工程将于2024年10月底完成。</w:t>
      </w:r>
    </w:p>
    <w:p>
      <w:pPr>
        <w:numPr>
          <w:ilvl w:val="0"/>
          <w:numId w:val="0"/>
        </w:numPr>
        <w:ind w:firstLine="1200"/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>2.</w:t>
      </w:r>
      <w:r>
        <w:rPr>
          <w:rFonts w:ascii="仿宋" w:eastAsia="仿宋" w:hAnsi="仿宋" w:cs="仿宋" w:hint="eastAsia"/>
          <w:b w:val="0"/>
          <w:bCs w:val="0"/>
          <w:sz w:val="30"/>
          <w:szCs w:val="30"/>
          <w:lang w:eastAsia="zh-CN"/>
        </w:rPr>
        <w:t>经营费用</w:t>
      </w:r>
      <w:r>
        <w:rPr>
          <w:rFonts w:ascii="仿宋" w:eastAsia="仿宋" w:hAnsi="仿宋" w:cs="仿宋" w:hint="eastAsia"/>
          <w:b w:val="0"/>
          <w:bCs w:val="0"/>
          <w:sz w:val="30"/>
          <w:szCs w:val="30"/>
        </w:rPr>
        <w:t>底价</w:t>
      </w:r>
      <w:r>
        <w:rPr>
          <w:rFonts w:ascii="仿宋" w:eastAsia="仿宋" w:hAnsi="仿宋" w:cs="仿宋" w:hint="eastAsia"/>
          <w:b w:val="0"/>
          <w:bCs w:val="0"/>
          <w:sz w:val="30"/>
          <w:szCs w:val="30"/>
          <w:lang w:eastAsia="zh-CN"/>
        </w:rPr>
        <w:t>、销售额提成率最低比例</w:t>
      </w:r>
      <w:r>
        <w:rPr>
          <w:rFonts w:ascii="仿宋" w:eastAsia="仿宋" w:hAnsi="仿宋" w:cs="仿宋" w:hint="eastAsia"/>
          <w:b w:val="0"/>
          <w:bCs w:val="0"/>
          <w:sz w:val="30"/>
          <w:szCs w:val="30"/>
          <w:lang w:val="en-US" w:eastAsia="zh-CN"/>
        </w:rPr>
        <w:t>等相关问题详见招标文件。</w:t>
      </w:r>
    </w:p>
    <w:p>
      <w:pPr>
        <w:pStyle w:val="1"/>
        <w:numPr>
          <w:ilvl w:val="255"/>
          <w:numId w:val="0"/>
        </w:numPr>
        <w:spacing w:line="360" w:lineRule="auto"/>
        <w:ind w:firstLine="1280"/>
        <w:rPr>
          <w:rFonts w:ascii="黑体" w:eastAsia="黑体" w:hAnsi="黑体" w:cs="黑体" w:hint="default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highlight w:val="none"/>
          <w:lang w:val="en-US" w:eastAsia="zh-CN"/>
        </w:rPr>
        <w:t>3.“锦上花开”中标人的经营场地</w:t>
      </w:r>
      <w:r>
        <w:rPr>
          <w:rFonts w:ascii="仿宋" w:eastAsia="仿宋" w:hAnsi="仿宋" w:cs="仿宋" w:hint="eastAsia"/>
          <w:sz w:val="32"/>
          <w:szCs w:val="32"/>
          <w:highlight w:val="none"/>
          <w:u w:val="single"/>
        </w:rPr>
        <w:t>E-R-6D/E-R-7D/E-R-8D</w:t>
      </w:r>
      <w:r>
        <w:rPr>
          <w:rFonts w:ascii="仿宋" w:eastAsia="仿宋" w:hAnsi="仿宋" w:cs="仿宋" w:hint="eastAsia"/>
          <w:sz w:val="32"/>
          <w:szCs w:val="32"/>
          <w:highlight w:val="none"/>
          <w:lang w:eastAsia="zh-CN"/>
        </w:rPr>
        <w:t>，</w:t>
      </w:r>
      <w:r>
        <w:rPr>
          <w:rFonts w:ascii="仿宋" w:eastAsia="仿宋" w:hAnsi="仿宋" w:cs="仿宋" w:hint="eastAsia"/>
          <w:sz w:val="32"/>
          <w:szCs w:val="32"/>
          <w:highlight w:val="none"/>
          <w:lang w:val="en-US" w:eastAsia="zh-CN"/>
        </w:rPr>
        <w:t>面积</w:t>
      </w:r>
      <w:r>
        <w:rPr>
          <w:rFonts w:ascii="仿宋" w:eastAsia="仿宋" w:hAnsi="仿宋" w:cs="仿宋" w:hint="eastAsia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1073  </w:t>
      </w:r>
      <w:r>
        <w:rPr>
          <w:rFonts w:ascii="仿宋" w:eastAsia="仿宋" w:hAnsi="仿宋" w:cs="仿宋" w:hint="eastAsia"/>
          <w:sz w:val="32"/>
          <w:szCs w:val="32"/>
          <w:highlight w:val="none"/>
          <w:lang w:val="en-US" w:eastAsia="zh-CN"/>
        </w:rPr>
        <w:t>㎡涉及</w:t>
      </w:r>
      <w:r>
        <w:rPr>
          <w:rFonts w:ascii="仿宋" w:eastAsia="仿宋" w:hAnsi="仿宋" w:cs="仿宋" w:hint="eastAsia"/>
          <w:sz w:val="32"/>
          <w:szCs w:val="32"/>
          <w:highlight w:val="none"/>
        </w:rPr>
        <w:t>简装经营，</w:t>
      </w:r>
      <w:r>
        <w:rPr>
          <w:rFonts w:ascii="仿宋" w:eastAsia="仿宋" w:hAnsi="仿宋" w:cs="仿宋" w:hint="eastAsia"/>
          <w:sz w:val="32"/>
          <w:szCs w:val="32"/>
          <w:highlight w:val="none"/>
          <w:lang w:val="en-US" w:eastAsia="zh-CN"/>
        </w:rPr>
        <w:t>请详见招标文件。</w:t>
      </w:r>
    </w:p>
    <w:p>
      <w:pPr>
        <w:pStyle w:val="ListParagraph"/>
        <w:numPr>
          <w:ilvl w:val="0"/>
          <w:numId w:val="0"/>
        </w:numPr>
        <w:spacing w:line="360" w:lineRule="auto"/>
        <w:jc w:val="right"/>
        <w:rPr>
          <w:rFonts w:ascii="黑体" w:eastAsia="黑体" w:hAnsi="黑体" w:cs="黑体" w:hint="default"/>
          <w:kern w:val="2"/>
          <w:sz w:val="24"/>
          <w:szCs w:val="24"/>
          <w:lang w:val="en-US"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32"/>
          <w:highlight w:val="none"/>
          <w:lang w:val="en-US" w:eastAsia="zh-CN" w:bidi="ar-SA"/>
        </w:rPr>
        <w:t>成都双流国际机场股份有限公司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2D4CA2"/>
    <w:multiLevelType w:val="singleLevel"/>
    <w:tmpl w:val="BA2D4CA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uiPriority w:val="99"/>
    <w:qFormat/>
    <w:pPr>
      <w:jc w:val="center"/>
    </w:pPr>
    <w:rPr>
      <w:b/>
      <w:sz w:val="52"/>
      <w:szCs w:val="20"/>
    </w:rPr>
  </w:style>
  <w:style w:type="paragraph" w:styleId="ListParagraph">
    <w:name w:val="List Paragraph"/>
    <w:basedOn w:val="Normal"/>
    <w:uiPriority w:val="34"/>
    <w:qFormat/>
    <w:pPr>
      <w:ind w:firstLine="420"/>
    </w:pPr>
  </w:style>
  <w:style w:type="paragraph" w:customStyle="1" w:styleId="1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1311</Words>
  <Characters>1399</Characters>
  <Application>Microsoft Office Word</Application>
  <DocSecurity>0</DocSecurity>
  <Lines>0</Lines>
  <Paragraphs>0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2023-03-07T06:59:00Z</dcterms:created>
  <dcterms:modified xsi:type="dcterms:W3CDTF">2023-03-10T06:24:42Z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F4D1A67859924FC48D3614B2A4C090E6</vt:lpwstr>
  </property>
  <property fmtid="{D5CDD505-2E9C-101B-9397-08002B2CF9AE}" pid="3" name="KSOProductBuildVer">
    <vt:lpwstr>2052-11.1.0.13703</vt:lpwstr>
  </property>
</Properties>
</file>