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both"/>
        <w:rPr>
          <w:rFonts w:ascii="宋体" w:eastAsia="宋体" w:hAnsi="宋体" w:cs="宋体" w:hint="default"/>
          <w:bCs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ascii="宋体" w:hAnsi="宋体" w:cs="宋体" w:hint="eastAsia"/>
          <w:bCs/>
          <w:color w:val="auto"/>
          <w:kern w:val="0"/>
          <w:sz w:val="28"/>
          <w:szCs w:val="28"/>
          <w:lang w:val="en-US" w:eastAsia="zh-CN"/>
        </w:rPr>
        <w:t>附件1：项目情况说明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ascii="仿宋" w:eastAsia="仿宋" w:hAnsi="仿宋" w:cs="仿宋" w:hint="eastAsia"/>
          <w:color w:val="auto"/>
          <w:sz w:val="28"/>
          <w:szCs w:val="28"/>
        </w:rPr>
      </w:pPr>
      <w:bookmarkEnd w:id="0"/>
      <w:r>
        <w:rPr>
          <w:rFonts w:ascii="仿宋" w:eastAsia="仿宋" w:hAnsi="仿宋" w:cs="仿宋" w:hint="eastAsia"/>
          <w:color w:val="auto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.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本项目媒体经营期限为</w:t>
      </w:r>
      <w:r>
        <w:rPr>
          <w:rFonts w:ascii="仿宋" w:eastAsia="仿宋" w:hAnsi="仿宋" w:cs="仿宋" w:hint="eastAsia"/>
          <w:color w:val="auto"/>
          <w:sz w:val="28"/>
          <w:szCs w:val="28"/>
          <w:u w:val="single"/>
          <w:lang w:val="en-US" w:eastAsia="zh-CN"/>
        </w:rPr>
        <w:t xml:space="preserve">  1年  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（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讫止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时间以签订的合同时间为准）。如因不可抗力原因、政府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及政府相关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机构行使管理职能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导致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机场流程调整、业务布局改变、广告载体升级改造等情况需要变更媒体数量及点位的，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谈判人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与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中选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人均无需承担违约责任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由双方另行协商相关事宜。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ascii="仿宋" w:eastAsia="仿宋" w:hAnsi="仿宋" w:cs="仿宋" w:hint="eastAsia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2.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经营期限至少需为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1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个完整年度（即满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12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个月），在此基础上，如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中选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人有退租意向，需提前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2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个月书面告知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谈判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人，否则，履约保证金不予退还。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3.</w:t>
      </w:r>
      <w:r>
        <w:rPr>
          <w:rFonts w:ascii="仿宋" w:eastAsia="仿宋" w:hAnsi="仿宋" w:cs="仿宋" w:hint="eastAsia"/>
          <w:color w:val="auto"/>
          <w:sz w:val="28"/>
          <w:szCs w:val="28"/>
        </w:rPr>
        <w:t xml:space="preserve">中选人如有继续经营的意向，合同届满提前 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2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个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月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，需向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谈判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人提出书面续约申请，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谈判人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对中选人在经营期限内的经营状况等进行评估，根据评估结果，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谈判人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可做出是否续约的决定，双方需在合同到期前</w:t>
      </w:r>
      <w:r>
        <w:rPr>
          <w:rFonts w:ascii="仿宋" w:eastAsia="仿宋" w:hAnsi="仿宋" w:cs="仿宋" w:hint="eastAsia"/>
          <w:color w:val="auto"/>
          <w:sz w:val="28"/>
          <w:szCs w:val="28"/>
          <w:lang w:val="en-US" w:eastAsia="zh-CN"/>
        </w:rPr>
        <w:t>1个月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完成续约合同的签订工作</w:t>
      </w:r>
      <w:r>
        <w:rPr>
          <w:rFonts w:ascii="仿宋" w:eastAsia="仿宋" w:hAnsi="仿宋" w:cs="仿宋" w:hint="eastAsia"/>
          <w:color w:val="auto"/>
          <w:sz w:val="28"/>
          <w:szCs w:val="28"/>
          <w:lang w:eastAsia="zh-CN"/>
        </w:rPr>
        <w:t>。</w:t>
      </w:r>
    </w:p>
    <w:p>
      <w:pPr>
        <w:ind w:firstLine="560"/>
        <w:rPr>
          <w:rFonts w:ascii="仿宋" w:eastAsia="仿宋" w:hAnsi="仿宋" w:cs="仿宋" w:hint="eastAsia"/>
          <w:b w:val="0"/>
          <w:bCs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 w:val="0"/>
          <w:bCs/>
          <w:color w:val="auto"/>
          <w:sz w:val="28"/>
          <w:szCs w:val="28"/>
          <w:lang w:val="en-US" w:eastAsia="zh-CN"/>
        </w:rPr>
        <w:t>4.</w:t>
      </w:r>
      <w:r>
        <w:rPr>
          <w:rFonts w:ascii="仿宋" w:eastAsia="仿宋" w:hAnsi="仿宋" w:cs="仿宋" w:hint="eastAsia"/>
          <w:b w:val="0"/>
          <w:bCs/>
          <w:color w:val="auto"/>
          <w:sz w:val="28"/>
          <w:szCs w:val="28"/>
          <w:highlight w:val="none"/>
          <w:lang w:eastAsia="zh-CN"/>
        </w:rPr>
        <w:t>广元盘龙机场广告媒体计划于</w:t>
      </w:r>
      <w:r>
        <w:rPr>
          <w:rFonts w:ascii="仿宋" w:eastAsia="仿宋" w:hAnsi="仿宋" w:cs="仿宋" w:hint="eastAsia"/>
          <w:b w:val="0"/>
          <w:bCs/>
          <w:color w:val="auto"/>
          <w:sz w:val="28"/>
          <w:szCs w:val="28"/>
          <w:highlight w:val="none"/>
          <w:lang w:val="en-US" w:eastAsia="zh-CN"/>
        </w:rPr>
        <w:t>2024年内升级改造，该合同</w:t>
      </w:r>
      <w:r>
        <w:rPr>
          <w:rFonts w:ascii="仿宋" w:eastAsia="仿宋" w:hAnsi="仿宋" w:cs="仿宋" w:hint="eastAsia"/>
          <w:b w:val="0"/>
          <w:bCs/>
          <w:color w:val="auto"/>
          <w:sz w:val="28"/>
          <w:szCs w:val="28"/>
          <w:lang w:eastAsia="zh-CN"/>
        </w:rPr>
        <w:t>最长可续约至广元盘龙机场广告媒体升级改造前。</w:t>
      </w:r>
    </w:p>
    <w:p>
      <w:pPr>
        <w:ind w:firstLine="560"/>
        <w:rPr>
          <w:rFonts w:ascii="仿宋" w:eastAsia="仿宋" w:hAnsi="仿宋" w:cs="仿宋" w:hint="eastAsia"/>
          <w:b w:val="0"/>
          <w:bCs/>
          <w:color w:val="auto"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color w:val="auto"/>
          <w:sz w:val="28"/>
          <w:szCs w:val="28"/>
          <w:lang w:val="en-US" w:eastAsia="zh-CN"/>
        </w:rPr>
        <w:t>5.</w:t>
      </w:r>
      <w:r>
        <w:rPr>
          <w:rFonts w:ascii="仿宋" w:eastAsia="仿宋" w:hAnsi="仿宋" w:cs="仿宋" w:hint="eastAsia"/>
          <w:b w:val="0"/>
          <w:bCs/>
          <w:color w:val="auto"/>
          <w:sz w:val="28"/>
          <w:szCs w:val="28"/>
        </w:rPr>
        <w:t>如实际经营时间不足整年，</w:t>
      </w:r>
      <w:r>
        <w:rPr>
          <w:rFonts w:ascii="仿宋" w:eastAsia="仿宋" w:hAnsi="仿宋" w:cs="仿宋" w:hint="eastAsia"/>
          <w:b w:val="0"/>
          <w:bCs/>
          <w:color w:val="auto"/>
          <w:sz w:val="28"/>
          <w:szCs w:val="28"/>
          <w:lang w:val="en-US" w:eastAsia="zh-CN"/>
        </w:rPr>
        <w:t>场地租赁费</w:t>
      </w:r>
      <w:r>
        <w:rPr>
          <w:rFonts w:ascii="仿宋" w:eastAsia="仿宋" w:hAnsi="仿宋" w:cs="仿宋" w:hint="eastAsia"/>
          <w:b w:val="0"/>
          <w:bCs/>
          <w:color w:val="auto"/>
          <w:sz w:val="28"/>
          <w:szCs w:val="28"/>
        </w:rPr>
        <w:t>按照实际天数折算</w:t>
      </w:r>
      <w:r>
        <w:rPr>
          <w:rFonts w:ascii="仿宋" w:eastAsia="仿宋" w:hAnsi="仿宋" w:cs="仿宋" w:hint="eastAsia"/>
          <w:b w:val="0"/>
          <w:bCs/>
          <w:color w:val="auto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7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70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7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7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7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7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70"/>
      </w:p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70"/>
      </w:pPr>
    </w:lvl>
    <w:lvl w:ilvl="8">
      <w:start w:val="1"/>
      <w:numFmt w:val="decimal"/>
      <w:lvlText w:val="%1.%2.%3.%4.%5.%6.%7.%8.%9"/>
      <w:legacy w:legacy="1" w:legacySpace="144" w:legacyIndent="0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OTU2MjY0Njk5NzEzMjVmYjhjODAyZGQxNzVkMTQ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0"/>
        <w:numId w:val="1"/>
      </w:numPr>
      <w:tabs>
        <w:tab w:val="left" w:pos="3969"/>
        <w:tab w:val="left" w:pos="9639"/>
        <w:tab w:val="left" w:pos="11340"/>
      </w:tabs>
      <w:adjustRightInd w:val="0"/>
      <w:spacing w:before="240" w:line="480" w:lineRule="auto"/>
      <w:jc w:val="left"/>
      <w:textAlignment w:val="baseline"/>
      <w:outlineLvl w:val="0"/>
    </w:pPr>
    <w:rPr>
      <w:b/>
      <w:color w:val="008000"/>
      <w:sz w:val="30"/>
      <w:szCs w:val="20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2023-03-09T06:47:13Z</dcterms:created>
  <dcterms:modified xsi:type="dcterms:W3CDTF">2023-03-09T06:47:22Z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0069E0ECAED34C039748F3C087A6E81B</vt:lpwstr>
  </property>
  <property fmtid="{D5CDD505-2E9C-101B-9397-08002B2CF9AE}" pid="3" name="KSOProductBuildVer">
    <vt:lpwstr>2052-11.1.0.13703</vt:lpwstr>
  </property>
</Properties>
</file>