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BodyText"/>
        <w:jc w:val="both"/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</w:pPr>
      <w:bookmarkStart w:id="0" w:name="_GoBack"/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1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</w:p>
    <w:p>
      <w:pPr>
        <w:pStyle w:val="BodyText"/>
        <w:jc w:val="center"/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仿宋_GB2312" w:eastAsia="仿宋_GB2312" w:hAnsi="仿宋_GB2312" w:cs="仿宋_GB2312" w:hint="default"/>
          <w:b/>
          <w:bCs/>
          <w:kern w:val="2"/>
          <w:sz w:val="44"/>
          <w:szCs w:val="44"/>
          <w:lang w:val="en-US" w:bidi="ar-SA"/>
        </w:rPr>
        <w:t>停车场服务部</w:t>
      </w: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  <w:t>关于公共区停车场卫生间改造采购</w:t>
      </w:r>
      <w:r>
        <w:rPr>
          <w:rFonts w:ascii="仿宋_GB2312" w:eastAsia="仿宋_GB2312" w:hAnsi="仿宋_GB2312" w:cs="仿宋_GB2312" w:hint="default"/>
          <w:b/>
          <w:bCs/>
          <w:kern w:val="2"/>
          <w:sz w:val="44"/>
          <w:szCs w:val="44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  <w:t>内容</w:t>
      </w:r>
      <w:bookmarkEnd w:id="0"/>
    </w:p>
    <w:p>
      <w:pPr>
        <w:pStyle w:val="PlainText"/>
        <w:rPr>
          <w:rFonts w:hint="eastAsia"/>
          <w:lang w:val="en-US" w:eastAsia="zh-CN"/>
        </w:rPr>
      </w:pPr>
    </w:p>
    <w:tbl>
      <w:tblPr>
        <w:tblStyle w:val="TableNormal"/>
        <w:tblW w:w="8099" w:type="dxa"/>
        <w:tblInd w:w="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760"/>
        <w:gridCol w:w="1518"/>
        <w:gridCol w:w="1849"/>
      </w:tblGrid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工程量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一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调度室一层男卫改造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施工打围（及告示牌）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拆除卫生间小便隔板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拆除卫生间小便器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拆除墙地砖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15.96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室内基层剔凿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15.96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新增排水管道开槽切割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8.6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沟槽土方开挖深800mm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6.2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新增给水管道开槽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9.6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PPR给水管道安装（管径综合）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9.6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UPVC排水管道安装（管径综合）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8.5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回填及垫层浇筑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零星墙面一般抹灰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15.96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双层丙纶防水铺设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15.96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零星水泥砂浆保护层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15.96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墙地面瓷砖粘贴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15.96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不锈钢地漏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安装蹲便器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安装蹲便器冲洗阀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卫生间隔板安装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局部吊顶拆安修复（水管碰头）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总坪污水井开洞接入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建渣清运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车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完工保洁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二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业务用房一层男卫改造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施工打围（及告示牌）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拆除卫生间小便隔板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拆除卫生间小便器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拆除墙地砖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14.54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室内基层剔凿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14.54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新增排水管道开槽切割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14.54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沟槽土方开挖深800mm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新增给水管道开槽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3.6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PPR给水管道安装（管径综合）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3.6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UPVC排水管道安装（管径综合）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m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回填及垫层浇筑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零星墙面一般抹灰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14.54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双层丙纶防水铺设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14.54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零星水泥砂浆保护层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14.54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墙地面瓷砖粘贴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14.54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不锈钢地漏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安装蹲便器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个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安装蹲便器冲洗阀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卫生间隔板安装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局部吊顶拆安修复（水管碰头）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工日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总坪污水井开洞接入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建渣清运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车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W w:w="8099" w:type="dxa"/>
          <w:tblInd w:w="7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完工保洁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㎡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>
            <w:pPr>
              <w:spacing w:before="0" w:after="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2023-05-30T03:44:00Z</dcterms:created>
  <dcterms:modified xsi:type="dcterms:W3CDTF">2023-05-30T06:28:31Z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