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附件2：公开招标标段说明一览表餐饮标段</w:t>
      </w:r>
    </w:p>
    <w:tbl>
      <w:tblPr>
        <w:tblStyle w:val="TableNormal"/>
        <w:tblW w:w="0" w:type="auto"/>
        <w:tblInd w:w="-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287"/>
        <w:gridCol w:w="1063"/>
        <w:gridCol w:w="2475"/>
        <w:gridCol w:w="3350"/>
        <w:gridCol w:w="1237"/>
        <w:gridCol w:w="1200"/>
        <w:gridCol w:w="1263"/>
        <w:gridCol w:w="1950"/>
      </w:tblGrid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标段号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面积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 xml:space="preserve">业态           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经营范围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品牌要求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区域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sz w:val="18"/>
                <w:szCs w:val="18"/>
                <w:highlight w:val="non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备注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FFFF" w:themeColor="background1"/>
                <w:kern w:val="0"/>
                <w:sz w:val="18"/>
                <w:szCs w:val="18"/>
                <w:highlight w:val="none"/>
                <w:lang/>
              </w:rPr>
              <w:t>经营期限（年）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DEP-F-6D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饮品、甜点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咖啡、奶茶、果茶、面包、蛋糕、甜品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不可经营简餐、炸鸡、汉堡。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出发大厅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DEP-F-7D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9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饮品、甜点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咖啡、奶茶、果茶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、面包、蛋糕、甜品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不可经营简餐、炸鸡、汉堡。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出发大厅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UM-F-4D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 xml:space="preserve">200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餐饮集合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可以经营各类正餐、简餐、异域风情餐、饮品、甜点等，可多个品牌组合经营。不可经营西式快餐、五芳斋品牌。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上夹层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D-F-1D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餐饮集合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可以经营各类正餐、异域风情餐、饮品、甜点等，可多个品牌组合经营。不可经营西式快餐、西式简餐、九锅一堂、饺子、王记牛肉面。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锦色宴语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highlight w:val="none"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F-F-1D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饮品、甜点、简餐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咖啡、奶茶、果茶、面包、蛋糕、甜品、简餐、快餐。不可经营炸鸡、汉堡，可1-2个品牌组合经营。不可经营许家菜品牌。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F指廊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highlight w:val="none"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F-F-6D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简餐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以经营简餐为主，可同时提供饮品、甜点。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不可经营许家菜品牌。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F指廊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 w:hint="default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G-F-1D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饮品、甜点、</w:t>
            </w:r>
          </w:p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简餐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咖啡、奶茶、果茶、面包、蛋糕、甜品、简餐，不可经营炸鸡、汉堡类产品、喜茶、星巴克、老张牛肉面、许家菜品牌。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G指廊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G-F-4D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饮品、甜点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咖啡、奶茶、果茶、面包、蛋糕、甜品，不可经营炸鸡、汉堡类产品、喜茶、星巴克以及简餐。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EF连廊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  <w:tr>
        <w:tblPrEx>
          <w:tblW w:w="0" w:type="auto"/>
          <w:tblInd w:w="-36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default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G-F-5D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简餐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eastAsia="微软雅黑" w:hAnsi="微软雅黑" w:cs="微软雅黑" w:hint="default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/>
              </w:rPr>
              <w:t>以经营简餐为主，可同时提供饮品、甜点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。不可经营老张牛肉面、许家菜品牌。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知名品牌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G指廊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eastAsia="微软雅黑" w:hAnsi="微软雅黑" w:cs="微软雅黑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highlight w:val="none"/>
              </w:rPr>
              <w:t>5+2（签约5年，双方无异议顺延2年）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jNzFmODY5ODE4NzUxM2E3YTZlMjNkNDZlNWNjMjcifQ=="/>
  </w:docVars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794</Words>
  <Characters>932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2023-04-05T06:57:00Z</cp:lastPrinted>
  <dcterms:created xsi:type="dcterms:W3CDTF">2023-02-22T06:07:00Z</dcterms:created>
  <dcterms:modified xsi:type="dcterms:W3CDTF">2023-06-14T04:01:54Z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5FE7845E06E3404CAF50821124BDB157_12</vt:lpwstr>
  </property>
  <property fmtid="{D5CDD505-2E9C-101B-9397-08002B2CF9AE}" pid="3" name="KSOProductBuildVer">
    <vt:lpwstr>2052-11.8.6.9023</vt:lpwstr>
  </property>
</Properties>
</file>