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keepNext w:val="0"/>
        <w:keepLines w:val="0"/>
        <w:pageBreakBefore w:val="0"/>
        <w:widowControl w:val="0"/>
        <w:numPr>
          <w:ilvl w:val="0"/>
          <w:numId w:val="0"/>
        </w:numPr>
        <w:kinsoku/>
        <w:wordWrap/>
        <w:overflowPunct/>
        <w:topLinePunct w:val="0"/>
        <w:autoSpaceDE/>
        <w:autoSpaceDN/>
        <w:bidi w:val="0"/>
        <w:adjustRightInd/>
        <w:snapToGrid/>
        <w:ind w:firstLine="560"/>
        <w:jc w:val="both"/>
        <w:textAlignment w:val="auto"/>
        <w:rPr>
          <w:rFonts w:ascii="仿宋_GB2312" w:eastAsia="仿宋_GB2312" w:hAnsi="仿宋_GB2312" w:cs="仿宋_GB2312" w:hint="eastAsia"/>
          <w:kern w:val="2"/>
          <w:sz w:val="28"/>
          <w:szCs w:val="28"/>
          <w:lang w:val="en-US" w:eastAsia="zh-CN" w:bidi="ar-SA"/>
        </w:rPr>
      </w:pPr>
      <w:r>
        <w:rPr>
          <w:rFonts w:ascii="仿宋_GB2312" w:eastAsia="仿宋_GB2312" w:hAnsi="仿宋_GB2312" w:cs="仿宋_GB2312" w:hint="eastAsia"/>
          <w:kern w:val="2"/>
          <w:sz w:val="28"/>
          <w:szCs w:val="28"/>
          <w:lang w:val="en-US" w:bidi="ar-SA"/>
        </w:rPr>
        <w:t>附件</w:t>
      </w:r>
      <w:r>
        <w:rPr>
          <w:rFonts w:ascii="仿宋_GB2312" w:eastAsia="仿宋_GB2312" w:hAnsi="仿宋_GB2312" w:cs="仿宋_GB2312" w:hint="eastAsia"/>
          <w:kern w:val="2"/>
          <w:sz w:val="28"/>
          <w:szCs w:val="28"/>
          <w:lang w:val="en-US" w:eastAsia="zh-CN" w:bidi="ar-SA"/>
        </w:rPr>
        <w:t>1</w:t>
      </w:r>
      <w:r>
        <w:rPr>
          <w:rFonts w:ascii="仿宋_GB2312" w:eastAsia="仿宋_GB2312" w:hAnsi="仿宋_GB2312" w:cs="仿宋_GB2312" w:hint="default"/>
          <w:kern w:val="2"/>
          <w:sz w:val="28"/>
          <w:szCs w:val="28"/>
          <w:lang w:val="en-US" w:bidi="ar-SA"/>
        </w:rPr>
        <w:t>：</w:t>
      </w:r>
      <w:r>
        <w:rPr>
          <w:rFonts w:ascii="仿宋_GB2312" w:eastAsia="仿宋_GB2312" w:hAnsi="仿宋_GB2312" w:cs="仿宋_GB2312" w:hint="eastAsia"/>
          <w:sz w:val="28"/>
          <w:szCs w:val="28"/>
          <w:lang w:val="en-US" w:eastAsia="zh-CN"/>
        </w:rPr>
        <w:t>四川机场旅客服务有限公司天府机场分公司长途汽车站站务系统维保</w:t>
      </w:r>
      <w:r>
        <w:rPr>
          <w:rFonts w:ascii="仿宋_GB2312" w:eastAsia="仿宋_GB2312" w:hAnsi="仿宋_GB2312" w:cs="仿宋_GB2312" w:hint="default"/>
          <w:kern w:val="2"/>
          <w:sz w:val="28"/>
          <w:szCs w:val="28"/>
          <w:lang w:val="en-US" w:bidi="ar-SA"/>
        </w:rPr>
        <w:t>项目</w:t>
      </w:r>
      <w:r>
        <w:rPr>
          <w:rFonts w:ascii="仿宋_GB2312" w:eastAsia="仿宋_GB2312" w:hAnsi="仿宋_GB2312" w:cs="仿宋_GB2312" w:hint="eastAsia"/>
          <w:kern w:val="2"/>
          <w:sz w:val="28"/>
          <w:szCs w:val="28"/>
          <w:lang w:val="en-US" w:eastAsia="zh-CN" w:bidi="ar-SA"/>
        </w:rPr>
        <w:t>内容及单价控制价</w:t>
      </w:r>
    </w:p>
    <w:tbl>
      <w:tblPr>
        <w:tblStyle w:val="TableNormal"/>
        <w:tblW w:w="9145" w:type="dxa"/>
        <w:tblInd w:w="0" w:type="dxa"/>
        <w:tblBorders>
          <w:top w:val="nil"/>
          <w:left w:val="nil"/>
          <w:bottom w:val="nil"/>
          <w:right w:val="nil"/>
          <w:insideH w:val="nil"/>
          <w:insideV w:val="nil"/>
        </w:tblBorders>
        <w:shd w:val="clear" w:color="auto" w:fill="auto"/>
        <w:tblLayout w:type="fixed"/>
        <w:tblCellMar>
          <w:top w:w="0" w:type="dxa"/>
          <w:left w:w="0" w:type="dxa"/>
          <w:bottom w:w="0" w:type="dxa"/>
          <w:right w:w="0" w:type="dxa"/>
        </w:tblCellMar>
      </w:tblPr>
      <w:tblGrid>
        <w:gridCol w:w="9145"/>
      </w:tblGrid>
      <w:tr>
        <w:tblPrEx>
          <w:tblW w:w="9145" w:type="dxa"/>
          <w:tblInd w:w="0" w:type="dxa"/>
          <w:tblBorders>
            <w:top w:val="nil"/>
            <w:left w:val="nil"/>
            <w:bottom w:val="nil"/>
            <w:right w:val="nil"/>
            <w:insideH w:val="nil"/>
            <w:insideV w:val="nil"/>
          </w:tblBorders>
          <w:shd w:val="clear" w:color="auto" w:fill="auto"/>
          <w:tblLayout w:type="fixed"/>
          <w:tblCellMar>
            <w:top w:w="0" w:type="dxa"/>
            <w:left w:w="0" w:type="dxa"/>
            <w:bottom w:w="0" w:type="dxa"/>
            <w:right w:w="0" w:type="dxa"/>
          </w:tblCellMar>
        </w:tblPrEx>
        <w:trPr>
          <w:trHeight w:val="979"/>
        </w:trPr>
        <w:tc>
          <w:tcPr>
            <w:tcW w:w="9145" w:type="dxa"/>
            <w:tcBorders>
              <w:top w:val="nil"/>
              <w:left w:val="nil"/>
              <w:bottom w:val="nil"/>
              <w:right w:val="nil"/>
            </w:tcBorders>
            <w:shd w:val="clear" w:color="auto" w:fill="auto"/>
            <w:noWrap/>
            <w:tcMar>
              <w:top w:w="15" w:type="dxa"/>
              <w:left w:w="15" w:type="dxa"/>
              <w:right w:w="15" w:type="dxa"/>
            </w:tcMar>
            <w:vAlign w:val="center"/>
          </w:tcPr>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2"/>
              <w:gridCol w:w="5152"/>
              <w:gridCol w:w="83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912" w:type="dxa"/>
                </w:tcPr>
                <w:p>
                  <w:pPr>
                    <w:widowControl w:val="0"/>
                    <w:jc w:val="center"/>
                    <w:rPr>
                      <w:b w:val="0"/>
                      <w:bCs/>
                      <w:sz w:val="28"/>
                      <w:szCs w:val="28"/>
                      <w:vertAlign w:val="baseline"/>
                    </w:rPr>
                  </w:pPr>
                  <w:r>
                    <w:rPr>
                      <w:rStyle w:val="NormalCharacter"/>
                      <w:rFonts w:ascii="宋体" w:eastAsia="宋体" w:hAnsi="宋体" w:cs="宋体" w:hint="eastAsia"/>
                      <w:b w:val="0"/>
                      <w:bCs/>
                      <w:i w:val="0"/>
                      <w:caps w:val="0"/>
                      <w:color w:val="000000" w:themeColor="text1"/>
                      <w:spacing w:val="0"/>
                      <w:w w:val="100"/>
                      <w:kern w:val="2"/>
                      <w:sz w:val="28"/>
                      <w:szCs w:val="28"/>
                      <w:lang w:val="en-US" w:eastAsia="zh-CN" w:bidi="ar-SA"/>
                    </w:rPr>
                    <w:t>服务对象</w:t>
                  </w:r>
                </w:p>
              </w:tc>
              <w:tc>
                <w:tcPr>
                  <w:tcW w:w="5152" w:type="dxa"/>
                </w:tcPr>
                <w:p>
                  <w:pPr>
                    <w:widowControl w:val="0"/>
                    <w:jc w:val="center"/>
                    <w:rPr>
                      <w:b w:val="0"/>
                      <w:bCs/>
                      <w:sz w:val="28"/>
                      <w:szCs w:val="28"/>
                      <w:vertAlign w:val="baseline"/>
                    </w:rPr>
                  </w:pPr>
                  <w:r>
                    <w:rPr>
                      <w:rStyle w:val="NormalCharacter"/>
                      <w:rFonts w:ascii="宋体" w:eastAsia="宋体" w:hAnsi="宋体" w:cs="宋体" w:hint="eastAsia"/>
                      <w:b w:val="0"/>
                      <w:bCs/>
                      <w:i w:val="0"/>
                      <w:caps w:val="0"/>
                      <w:color w:val="000000" w:themeColor="text1"/>
                      <w:spacing w:val="0"/>
                      <w:w w:val="100"/>
                      <w:kern w:val="2"/>
                      <w:sz w:val="28"/>
                      <w:szCs w:val="28"/>
                      <w:lang w:val="en-US" w:eastAsia="zh-CN" w:bidi="ar-SA"/>
                    </w:rPr>
                    <w:t>服务内容</w:t>
                  </w:r>
                </w:p>
              </w:tc>
              <w:tc>
                <w:tcPr>
                  <w:tcW w:w="836" w:type="dxa"/>
                </w:tcPr>
                <w:p>
                  <w:pPr>
                    <w:widowControl w:val="0"/>
                    <w:jc w:val="center"/>
                    <w:rPr>
                      <w:b w:val="0"/>
                      <w:bCs/>
                      <w:sz w:val="28"/>
                      <w:szCs w:val="28"/>
                      <w:vertAlign w:val="baseline"/>
                    </w:rPr>
                  </w:pPr>
                  <w:r>
                    <w:rPr>
                      <w:rStyle w:val="NormalCharacter"/>
                      <w:rFonts w:ascii="宋体" w:eastAsia="宋体" w:hAnsi="宋体" w:cs="宋体" w:hint="eastAsia"/>
                      <w:b w:val="0"/>
                      <w:bCs/>
                      <w:i w:val="0"/>
                      <w:caps w:val="0"/>
                      <w:color w:val="000000" w:themeColor="text1"/>
                      <w:spacing w:val="0"/>
                      <w:w w:val="100"/>
                      <w:kern w:val="2"/>
                      <w:sz w:val="28"/>
                      <w:szCs w:val="28"/>
                      <w:lang w:val="en-US" w:eastAsia="zh-CN" w:bidi="ar-SA"/>
                    </w:rPr>
                    <w:t>服务方式</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912" w:type="dxa"/>
                  <w:vAlign w:val="center"/>
                </w:tcPr>
                <w:p>
                  <w:pPr>
                    <w:widowControl w:val="0"/>
                    <w:jc w:val="center"/>
                    <w:rPr>
                      <w:rFonts w:asciiTheme="minorEastAsia" w:eastAsiaTheme="minorEastAsia" w:hAnsiTheme="minorEastAsia" w:cstheme="minorEastAsia" w:hint="eastAsia"/>
                      <w:sz w:val="24"/>
                      <w:szCs w:val="24"/>
                      <w:vertAlign w:val="baseline"/>
                      <w:lang w:val="en-US" w:eastAsia="zh-CN"/>
                    </w:rPr>
                  </w:pPr>
                  <w:r>
                    <w:rPr>
                      <w:rFonts w:asciiTheme="minorEastAsia" w:eastAsiaTheme="minorEastAsia" w:hAnsiTheme="minorEastAsia" w:cstheme="minorEastAsia" w:hint="eastAsia"/>
                      <w:sz w:val="24"/>
                      <w:szCs w:val="24"/>
                      <w:vertAlign w:val="baseline"/>
                      <w:lang w:val="en-US" w:eastAsia="zh-CN"/>
                    </w:rPr>
                    <w:t>系统</w:t>
                  </w:r>
                </w:p>
              </w:tc>
              <w:tc>
                <w:tcPr>
                  <w:tcW w:w="5152" w:type="dxa"/>
                </w:tcPr>
                <w:p>
                  <w:pPr>
                    <w:widowControl w:val="0"/>
                    <w:jc w:val="left"/>
                    <w:rPr>
                      <w:rFonts w:hint="eastAsia"/>
                      <w:vertAlign w:val="baseline"/>
                    </w:rPr>
                  </w:pPr>
                  <w:r>
                    <w:rPr>
                      <w:rFonts w:hint="eastAsia"/>
                      <w:vertAlign w:val="baseline"/>
                    </w:rPr>
                    <w:t>1、长途客运移动应用系统、长途客运系统包含以下：售票子系统、检票子系统、车辆运行调度子系统、票务结算子系统、客运信息显示子系统、自助售票子系统、智能实名检票子系统、驾驶员自助服务子系统、驾乘服务子系统、自助查询子系统维护、升级、功能bug修复，可根据车站要求在原功能不变情况下进行操作性优化</w:t>
                  </w:r>
                </w:p>
                <w:p>
                  <w:pPr>
                    <w:widowControl w:val="0"/>
                    <w:jc w:val="left"/>
                    <w:rPr>
                      <w:rFonts w:hint="eastAsia"/>
                      <w:vertAlign w:val="baseline"/>
                    </w:rPr>
                  </w:pPr>
                  <w:r>
                    <w:rPr>
                      <w:rFonts w:hint="eastAsia"/>
                      <w:vertAlign w:val="baseline"/>
                    </w:rPr>
                    <w:t>2、站内LED显示屏信息输出</w:t>
                  </w:r>
                </w:p>
                <w:p>
                  <w:pPr>
                    <w:widowControl w:val="0"/>
                    <w:jc w:val="left"/>
                    <w:rPr>
                      <w:rFonts w:hint="eastAsia"/>
                      <w:vertAlign w:val="baseline"/>
                    </w:rPr>
                  </w:pPr>
                  <w:r>
                    <w:rPr>
                      <w:rFonts w:hint="eastAsia"/>
                      <w:vertAlign w:val="baseline"/>
                    </w:rPr>
                    <w:t>3、广播班次信息输出</w:t>
                  </w:r>
                </w:p>
                <w:p>
                  <w:pPr>
                    <w:widowControl w:val="0"/>
                    <w:jc w:val="left"/>
                    <w:rPr>
                      <w:vertAlign w:val="baseline"/>
                    </w:rPr>
                  </w:pPr>
                  <w:r>
                    <w:rPr>
                      <w:rFonts w:hint="eastAsia"/>
                      <w:vertAlign w:val="baseline"/>
                    </w:rPr>
                    <w:t>4、航显系统班次信息输出</w:t>
                  </w:r>
                </w:p>
              </w:tc>
              <w:tc>
                <w:tcPr>
                  <w:tcW w:w="836" w:type="dxa"/>
                  <w:vAlign w:val="center"/>
                </w:tcPr>
                <w:p>
                  <w:pPr>
                    <w:widowControl w:val="0"/>
                    <w:jc w:val="center"/>
                    <w:rPr>
                      <w:vertAlign w:val="baseline"/>
                    </w:rPr>
                  </w:pPr>
                  <w: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t>电话、远程、上门服务</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912" w:type="dxa"/>
                  <w:vAlign w:val="center"/>
                </w:tcPr>
                <w:p>
                  <w:pPr>
                    <w:widowControl w:val="0"/>
                    <w:jc w:val="center"/>
                    <w:rPr>
                      <w:rFonts w:asciiTheme="minorEastAsia" w:eastAsiaTheme="minorEastAsia" w:hAnsiTheme="minorEastAsia" w:cstheme="minorEastAsia" w:hint="default"/>
                      <w:sz w:val="24"/>
                      <w:szCs w:val="24"/>
                      <w:vertAlign w:val="baseline"/>
                      <w:lang w:val="en-US" w:eastAsia="zh-CN"/>
                    </w:rPr>
                  </w:pPr>
                  <w:r>
                    <w:rPr>
                      <w:rFonts w:asciiTheme="minorEastAsia" w:eastAsiaTheme="minorEastAsia" w:hAnsiTheme="minorEastAsia" w:cstheme="minorEastAsia" w:hint="eastAsia"/>
                      <w:sz w:val="24"/>
                      <w:szCs w:val="24"/>
                      <w:vertAlign w:val="baseline"/>
                      <w:lang w:val="en-US" w:eastAsia="zh-CN"/>
                    </w:rPr>
                    <w:t>第三方对接</w:t>
                  </w:r>
                </w:p>
              </w:tc>
              <w:tc>
                <w:tcPr>
                  <w:tcW w:w="5152" w:type="dxa"/>
                </w:tcPr>
                <w:p>
                  <w:pPr>
                    <w:widowControl w:val="0"/>
                    <w:numPr>
                      <w:ilvl w:val="0"/>
                      <w:numId w:val="1"/>
                    </w:numPr>
                    <w:jc w:val="left"/>
                    <w:rPr>
                      <w:rFonts w:hint="eastAsia"/>
                      <w:vertAlign w:val="baseline"/>
                    </w:rPr>
                  </w:pPr>
                  <w:r>
                    <w:rPr>
                      <w:rFonts w:hint="eastAsia"/>
                      <w:vertAlign w:val="baseline"/>
                    </w:rPr>
                    <w:t xml:space="preserve">提供行监系统对接                                                  </w:t>
                  </w:r>
                </w:p>
                <w:p>
                  <w:pPr>
                    <w:widowControl w:val="0"/>
                    <w:numPr>
                      <w:ilvl w:val="0"/>
                      <w:numId w:val="1"/>
                    </w:numPr>
                    <w:jc w:val="left"/>
                    <w:rPr>
                      <w:rFonts w:hint="eastAsia"/>
                      <w:vertAlign w:val="baseline"/>
                    </w:rPr>
                  </w:pPr>
                  <w:r>
                    <w:rPr>
                      <w:rFonts w:hint="eastAsia"/>
                      <w:vertAlign w:val="baseline"/>
                    </w:rPr>
                    <w:t>实名制上传公安系统对接</w:t>
                  </w:r>
                </w:p>
                <w:p>
                  <w:pPr>
                    <w:widowControl w:val="0"/>
                    <w:jc w:val="left"/>
                    <w:rPr>
                      <w:rFonts w:hint="eastAsia"/>
                      <w:vertAlign w:val="baseline"/>
                    </w:rPr>
                  </w:pPr>
                  <w:r>
                    <w:rPr>
                      <w:rFonts w:hint="eastAsia"/>
                      <w:vertAlign w:val="baseline"/>
                    </w:rPr>
                    <w:t>3、保险公司售保险对接</w:t>
                  </w:r>
                </w:p>
                <w:p>
                  <w:pPr>
                    <w:widowControl w:val="0"/>
                    <w:jc w:val="left"/>
                    <w:rPr>
                      <w:rFonts w:hint="eastAsia"/>
                      <w:vertAlign w:val="baseline"/>
                    </w:rPr>
                  </w:pPr>
                  <w:r>
                    <w:rPr>
                      <w:rFonts w:hint="eastAsia"/>
                      <w:vertAlign w:val="baseline"/>
                    </w:rPr>
                    <w:t>4、ICBC支付对接</w:t>
                  </w:r>
                </w:p>
                <w:p>
                  <w:pPr>
                    <w:widowControl w:val="0"/>
                    <w:jc w:val="left"/>
                    <w:rPr>
                      <w:vertAlign w:val="baseline"/>
                    </w:rPr>
                  </w:pPr>
                  <w:r>
                    <w:rPr>
                      <w:rFonts w:hint="eastAsia"/>
                      <w:vertAlign w:val="baseline"/>
                    </w:rPr>
                    <w:t>5、用友电子发票对接</w:t>
                  </w:r>
                </w:p>
              </w:tc>
              <w:tc>
                <w:tcPr>
                  <w:tcW w:w="836" w:type="dxa"/>
                  <w:vAlign w:val="center"/>
                </w:tcPr>
                <w:p>
                  <w:pPr>
                    <w:widowControl w:val="0"/>
                    <w:jc w:val="center"/>
                    <w:rPr>
                      <w:vertAlign w:val="baseline"/>
                    </w:rPr>
                  </w:pPr>
                  <w: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t>电话、远程、上门服务</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912" w:type="dxa"/>
                  <w:vAlign w:val="center"/>
                </w:tcPr>
                <w:p>
                  <w:pPr>
                    <w:widowControl w:val="0"/>
                    <w:jc w:val="center"/>
                    <w:rPr>
                      <w:rFonts w:asciiTheme="minorEastAsia" w:eastAsiaTheme="minorEastAsia" w:hAnsiTheme="minorEastAsia" w:cstheme="minorEastAsia" w:hint="eastAsia"/>
                      <w:sz w:val="24"/>
                      <w:szCs w:val="24"/>
                      <w:vertAlign w:val="baseline"/>
                      <w:lang w:val="en-US" w:eastAsia="zh-CN"/>
                    </w:rPr>
                  </w:pPr>
                  <w:r>
                    <w:rPr>
                      <w:rFonts w:asciiTheme="minorEastAsia" w:eastAsiaTheme="minorEastAsia" w:hAnsiTheme="minorEastAsia" w:cstheme="minorEastAsia" w:hint="eastAsia"/>
                      <w:sz w:val="24"/>
                      <w:szCs w:val="24"/>
                      <w:vertAlign w:val="baseline"/>
                      <w:lang w:val="en-US" w:eastAsia="zh-CN"/>
                    </w:rPr>
                    <w:t>服务器</w:t>
                  </w:r>
                </w:p>
              </w:tc>
              <w:tc>
                <w:tcPr>
                  <w:tcW w:w="5152" w:type="dxa"/>
                </w:tcPr>
                <w:p>
                  <w:pPr>
                    <w:pStyle w:val="TOC1"/>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jc w:val="left"/>
                    <w:textAlignment w:val="baseline"/>
                    <w:rPr>
                      <w:rFonts w:ascii="宋体" w:eastAsia="宋体" w:hAnsi="宋体" w:cs="宋体" w:hint="eastAsia"/>
                      <w:sz w:val="24"/>
                      <w:szCs w:val="24"/>
                      <w:lang w:val="en-US" w:eastAsia="zh-CN"/>
                    </w:rPr>
                  </w:pPr>
                  <w:r>
                    <w:rPr>
                      <w:rFonts w:ascii="宋体" w:eastAsia="宋体" w:hAnsi="宋体" w:cs="宋体" w:hint="eastAsia"/>
                      <w:sz w:val="24"/>
                      <w:szCs w:val="24"/>
                      <w:lang w:val="en-US" w:eastAsia="zh-CN"/>
                    </w:rPr>
                    <w:t>1、服务器远程部署安装站务系统</w:t>
                  </w:r>
                </w:p>
                <w:p>
                  <w:pPr>
                    <w:pStyle w:val="TOC1"/>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jc w:val="left"/>
                    <w:textAlignment w:val="baseline"/>
                    <w:rPr>
                      <w:rFonts w:ascii="宋体" w:eastAsia="宋体" w:hAnsi="宋体" w:cs="宋体" w:hint="eastAsia"/>
                      <w:sz w:val="24"/>
                      <w:szCs w:val="24"/>
                      <w:lang w:val="en-US" w:eastAsia="zh-CN"/>
                    </w:rPr>
                  </w:pPr>
                  <w:r>
                    <w:rPr>
                      <w:rFonts w:ascii="宋体" w:eastAsia="宋体" w:hAnsi="宋体" w:cs="宋体" w:hint="eastAsia"/>
                      <w:sz w:val="24"/>
                      <w:szCs w:val="24"/>
                      <w:lang w:val="en-US" w:eastAsia="zh-CN"/>
                    </w:rPr>
                    <w:t>2、服务器配置（不包含服务器本身操作系统的授权、操作系统安装、硬件安装）</w:t>
                  </w:r>
                </w:p>
                <w:p>
                  <w:pPr>
                    <w:pStyle w:val="TOC1"/>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jc w:val="left"/>
                    <w:textAlignment w:val="baseline"/>
                    <w:rPr>
                      <w:rFonts w:ascii="宋体" w:eastAsia="宋体" w:hAnsi="宋体" w:cs="宋体" w:hint="default"/>
                      <w:sz w:val="24"/>
                      <w:szCs w:val="24"/>
                      <w:lang w:val="en-US" w:eastAsia="zh-CN"/>
                    </w:rPr>
                  </w:pPr>
                  <w:r>
                    <w:rPr>
                      <w:rFonts w:ascii="宋体" w:eastAsia="宋体" w:hAnsi="宋体" w:cs="宋体" w:hint="eastAsia"/>
                      <w:sz w:val="24"/>
                      <w:szCs w:val="24"/>
                      <w:lang w:val="en-US" w:eastAsia="zh-CN"/>
                    </w:rPr>
                    <w:t>3、服务器</w:t>
                  </w:r>
                  <w:r>
                    <w:rPr>
                      <w:rFonts w:ascii="宋体" w:hAnsi="宋体" w:cs="宋体" w:hint="eastAsia"/>
                      <w:sz w:val="24"/>
                      <w:szCs w:val="24"/>
                      <w:lang w:val="en-US" w:eastAsia="zh-CN"/>
                    </w:rPr>
                    <w:t>业务</w:t>
                  </w:r>
                  <w:r>
                    <w:rPr>
                      <w:rFonts w:ascii="宋体" w:eastAsia="宋体" w:hAnsi="宋体" w:cs="宋体" w:hint="eastAsia"/>
                      <w:sz w:val="24"/>
                      <w:szCs w:val="24"/>
                      <w:lang w:val="en-US" w:eastAsia="zh-CN"/>
                    </w:rPr>
                    <w:t>系统优化、打补丁</w:t>
                  </w:r>
                  <w:r>
                    <w:rPr>
                      <w:rFonts w:ascii="宋体" w:hAnsi="宋体" w:cs="宋体" w:hint="eastAsia"/>
                      <w:sz w:val="24"/>
                      <w:szCs w:val="24"/>
                      <w:lang w:val="en-US" w:eastAsia="zh-CN"/>
                    </w:rPr>
                    <w:t>、维护</w:t>
                  </w:r>
                </w:p>
                <w:p>
                  <w:pPr>
                    <w:keepNext w:val="0"/>
                    <w:keepLines w:val="0"/>
                    <w:widowControl/>
                    <w:suppressLineNumbers w:val="0"/>
                    <w:spacing w:before="0" w:beforeAutospacing="0" w:after="0" w:afterAutospacing="0"/>
                    <w:ind w:left="0" w:right="0"/>
                    <w:jc w:val="left"/>
                    <w:textAlignment w:val="baseline"/>
                    <w:rPr>
                      <w:vertAlign w:val="baseline"/>
                    </w:rPr>
                  </w:pPr>
                  <w:r>
                    <w:rPr>
                      <w:rFonts w:ascii="宋体" w:eastAsia="宋体" w:hAnsi="宋体" w:cs="宋体" w:hint="eastAsia"/>
                      <w:b w:val="0"/>
                      <w:bCs w:val="0"/>
                      <w:i w:val="0"/>
                      <w:iCs w:val="0"/>
                      <w:caps w:val="0"/>
                      <w:color w:val="000000"/>
                      <w:spacing w:val="0"/>
                      <w:kern w:val="0"/>
                      <w:sz w:val="24"/>
                      <w:szCs w:val="24"/>
                      <w:vertAlign w:val="baseline"/>
                      <w:lang w:val="en-US" w:eastAsia="zh-CN"/>
                    </w:rPr>
                    <w:t>4、不包含服务器在被病毒攻击导致的系统瘫痪及数据丢失</w:t>
                  </w:r>
                </w:p>
              </w:tc>
              <w:tc>
                <w:tcPr>
                  <w:tcW w:w="836" w:type="dxa"/>
                  <w:vAlign w:val="center"/>
                </w:tcPr>
                <w:p>
                  <w:pPr>
                    <w:widowControl w:val="0"/>
                    <w:jc w:val="center"/>
                    <w:rPr>
                      <w:vertAlign w:val="baseline"/>
                    </w:rPr>
                  </w:pPr>
                  <w: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t>电话、远程、上门服务</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912" w:type="dxa"/>
                  <w:vAlign w:val="center"/>
                </w:tcPr>
                <w:p>
                  <w:pPr>
                    <w:widowControl w:val="0"/>
                    <w:jc w:val="center"/>
                    <w:rPr>
                      <w:rFonts w:asciiTheme="minorEastAsia" w:eastAsiaTheme="minorEastAsia" w:hAnsiTheme="minorEastAsia" w:cstheme="minorEastAsia" w:hint="eastAsia"/>
                      <w:sz w:val="24"/>
                      <w:szCs w:val="24"/>
                      <w:vertAlign w:val="baseline"/>
                      <w:lang w:val="en-US" w:eastAsia="zh-CN"/>
                    </w:rPr>
                  </w:pPr>
                  <w:r>
                    <w:rPr>
                      <w:rFonts w:asciiTheme="minorEastAsia" w:eastAsiaTheme="minorEastAsia" w:hAnsiTheme="minorEastAsia" w:cstheme="minorEastAsia" w:hint="eastAsia"/>
                      <w:sz w:val="24"/>
                      <w:szCs w:val="24"/>
                      <w:vertAlign w:val="baseline"/>
                      <w:lang w:val="en-US" w:eastAsia="zh-CN"/>
                    </w:rPr>
                    <w:t>数据库</w:t>
                  </w:r>
                </w:p>
              </w:tc>
              <w:tc>
                <w:tcPr>
                  <w:tcW w:w="5152" w:type="dxa"/>
                </w:tcPr>
                <w:p>
                  <w:pPr>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jc w:val="left"/>
                    <w:textAlignment w:val="baseline"/>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pPr>
                  <w: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t>1、历史数据迁移</w:t>
                  </w:r>
                </w:p>
                <w:p>
                  <w:pPr>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jc w:val="left"/>
                    <w:textAlignment w:val="baseline"/>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pPr>
                  <w: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t>2、数据备份</w:t>
                  </w:r>
                </w:p>
                <w:p>
                  <w:pPr>
                    <w:keepNext w:val="0"/>
                    <w:keepLines w:val="0"/>
                    <w:pageBreakBefore w:val="0"/>
                    <w:widowControl/>
                    <w:kinsoku/>
                    <w:wordWrap/>
                    <w:overflowPunct/>
                    <w:topLinePunct w:val="0"/>
                    <w:autoSpaceDE/>
                    <w:autoSpaceDN/>
                    <w:bidi w:val="0"/>
                    <w:adjustRightInd/>
                    <w:snapToGrid/>
                    <w:spacing w:before="0" w:beforeAutospacing="0" w:after="0" w:afterAutospacing="0" w:line="288" w:lineRule="auto"/>
                    <w:jc w:val="left"/>
                    <w:textAlignment w:val="baseline"/>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pPr>
                  <w: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t>3、数据库日志备份</w:t>
                  </w:r>
                </w:p>
                <w:p>
                  <w:pPr>
                    <w:widowControl w:val="0"/>
                    <w:jc w:val="left"/>
                    <w:rPr>
                      <w:vertAlign w:val="baseline"/>
                    </w:rPr>
                  </w:pPr>
                  <w: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t>4、双机热备（</w:t>
                  </w:r>
                  <w:r>
                    <w:rPr>
                      <w:rFonts w:ascii="宋体" w:eastAsia="宋体" w:hAnsi="宋体" w:cs="宋体" w:hint="eastAsia"/>
                      <w:b w:val="0"/>
                      <w:bCs w:val="0"/>
                      <w:i w:val="0"/>
                      <w:iCs w:val="0"/>
                      <w:caps w:val="0"/>
                      <w:color w:val="000000"/>
                      <w:spacing w:val="0"/>
                      <w:kern w:val="0"/>
                      <w:sz w:val="24"/>
                      <w:szCs w:val="24"/>
                      <w:vertAlign w:val="baseline"/>
                      <w:lang w:val="en-US" w:eastAsia="zh-CN"/>
                    </w:rPr>
                    <w:t>需乙方提供热备服务器</w:t>
                  </w:r>
                  <w: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t>）</w:t>
                  </w:r>
                </w:p>
              </w:tc>
              <w:tc>
                <w:tcPr>
                  <w:tcW w:w="836" w:type="dxa"/>
                  <w:vAlign w:val="center"/>
                </w:tcPr>
                <w:p>
                  <w:pPr>
                    <w:widowControl w:val="0"/>
                    <w:jc w:val="center"/>
                    <w:rPr>
                      <w:vertAlign w:val="baseline"/>
                    </w:rPr>
                  </w:pPr>
                  <w: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t>电话、远程、上门服务</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912" w:type="dxa"/>
                  <w:vAlign w:val="center"/>
                </w:tcPr>
                <w:p>
                  <w:pPr>
                    <w:widowControl w:val="0"/>
                    <w:jc w:val="center"/>
                    <w:rPr>
                      <w:rStyle w:val="NormalCharacter"/>
                      <w:rFonts w:asciiTheme="minorEastAsia" w:eastAsiaTheme="minorEastAsia" w:hAnsiTheme="minorEastAsia" w:cstheme="minorEastAsia" w:hint="eastAsia"/>
                      <w:b w:val="0"/>
                      <w:i w:val="0"/>
                      <w:caps w:val="0"/>
                      <w:color w:val="000000" w:themeColor="text1"/>
                      <w:spacing w:val="0"/>
                      <w:w w:val="100"/>
                      <w:kern w:val="2"/>
                      <w:sz w:val="24"/>
                      <w:szCs w:val="24"/>
                      <w:lang w:val="en-US" w:eastAsia="zh-CN" w:bidi="ar-SA"/>
                    </w:rPr>
                  </w:pPr>
                  <w:r>
                    <w:rPr>
                      <w:rStyle w:val="NormalCharacter"/>
                      <w:rFonts w:asciiTheme="minorEastAsia" w:eastAsiaTheme="minorEastAsia" w:hAnsiTheme="minorEastAsia" w:cstheme="minorEastAsia" w:hint="eastAsia"/>
                      <w:b w:val="0"/>
                      <w:i w:val="0"/>
                      <w:caps w:val="0"/>
                      <w:color w:val="000000" w:themeColor="text1"/>
                      <w:spacing w:val="0"/>
                      <w:w w:val="100"/>
                      <w:kern w:val="2"/>
                      <w:sz w:val="24"/>
                      <w:szCs w:val="24"/>
                      <w:lang w:val="en-US" w:eastAsia="zh-CN" w:bidi="ar-SA"/>
                    </w:rPr>
                    <w:t>硬件部分</w:t>
                  </w:r>
                </w:p>
                <w:p>
                  <w:pPr>
                    <w:widowControl w:val="0"/>
                    <w:jc w:val="center"/>
                    <w:rPr>
                      <w:rStyle w:val="NormalCharacter"/>
                      <w:rFonts w:asciiTheme="minorEastAsia" w:eastAsiaTheme="minorEastAsia" w:hAnsiTheme="minorEastAsia" w:cstheme="minorEastAsia" w:hint="eastAsia"/>
                      <w:b w:val="0"/>
                      <w:i w:val="0"/>
                      <w:caps w:val="0"/>
                      <w:color w:val="000000" w:themeColor="text1"/>
                      <w:spacing w:val="0"/>
                      <w:w w:val="100"/>
                      <w:kern w:val="2"/>
                      <w:sz w:val="24"/>
                      <w:szCs w:val="24"/>
                      <w:lang w:val="en-US" w:eastAsia="zh-CN" w:bidi="ar-SA"/>
                    </w:rPr>
                  </w:pPr>
                </w:p>
              </w:tc>
              <w:tc>
                <w:tcPr>
                  <w:tcW w:w="5152" w:type="dxa"/>
                </w:tcPr>
                <w:p>
                  <w:pPr>
                    <w:widowControl w:val="0"/>
                    <w:jc w:val="left"/>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pPr>
                  <w:r>
                    <w:rPr>
                      <w:rStyle w:val="NormalCharacter"/>
                      <w:rFonts w:ascii="宋体" w:hAnsi="宋体" w:cs="宋体" w:hint="eastAsia"/>
                      <w:b w:val="0"/>
                      <w:i w:val="0"/>
                      <w:caps w:val="0"/>
                      <w:color w:val="000000" w:themeColor="text1"/>
                      <w:spacing w:val="0"/>
                      <w:w w:val="100"/>
                      <w:kern w:val="2"/>
                      <w:sz w:val="24"/>
                      <w:szCs w:val="24"/>
                      <w:lang w:val="en-US" w:eastAsia="zh-CN" w:bidi="ar-SA"/>
                    </w:rPr>
                    <w:t>1、人工售票终端、人工检票终端、调度终端、车辆安全例检终端、售票结算终端、驾乘服务终端、自助售票终端、手持移动安检终端、手持移动例检终端、手持出站稽查终端、手持移动调度终端、手持售票检票终端、智能检票闸机、驾驶员自助报班机、驾驶员自助打单机、自助行包寄存柜、RFID监测终端</w:t>
                  </w:r>
                  <w: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t>等硬件设备故障提供上门检测、维修服务，</w:t>
                  </w:r>
                  <w:r>
                    <w:rPr>
                      <w:rStyle w:val="NormalCharacter"/>
                      <w:rFonts w:ascii="宋体" w:eastAsia="宋体" w:hAnsi="宋体" w:cs="宋体" w:hint="eastAsia"/>
                      <w:color w:val="000000" w:themeColor="text1"/>
                      <w:kern w:val="2"/>
                      <w:sz w:val="24"/>
                      <w:szCs w:val="24"/>
                      <w:lang w:bidi="ar-SA"/>
                    </w:rPr>
                    <w:t>若经乙方技术人员现场检测，硬件设备有配件更换必要，则配件更换费用由乙方</w:t>
                  </w:r>
                  <w:r>
                    <w:rPr>
                      <w:rStyle w:val="NormalCharacter"/>
                      <w:rFonts w:ascii="宋体" w:hAnsi="宋体" w:cs="宋体" w:hint="eastAsia"/>
                      <w:color w:val="000000" w:themeColor="text1"/>
                      <w:kern w:val="2"/>
                      <w:sz w:val="24"/>
                      <w:szCs w:val="24"/>
                      <w:lang w:val="en-US" w:eastAsia="zh-CN" w:bidi="ar-SA"/>
                    </w:rPr>
                    <w:t>承担</w:t>
                  </w:r>
                  <w: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t>。</w:t>
                  </w:r>
                </w:p>
              </w:tc>
              <w:tc>
                <w:tcPr>
                  <w:tcW w:w="836" w:type="dxa"/>
                  <w:vAlign w:val="center"/>
                </w:tcPr>
                <w:p>
                  <w:pPr>
                    <w:widowControl w:val="0"/>
                    <w:jc w:val="cente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pPr>
                  <w:r>
                    <w:rPr>
                      <w:rStyle w:val="NormalCharacter"/>
                      <w:rFonts w:ascii="宋体" w:eastAsia="宋体" w:hAnsi="宋体" w:cs="宋体" w:hint="eastAsia"/>
                      <w:b w:val="0"/>
                      <w:i w:val="0"/>
                      <w:caps w:val="0"/>
                      <w:color w:val="000000" w:themeColor="text1"/>
                      <w:spacing w:val="0"/>
                      <w:w w:val="100"/>
                      <w:kern w:val="2"/>
                      <w:sz w:val="24"/>
                      <w:szCs w:val="24"/>
                      <w:lang w:val="en-US" w:eastAsia="zh-CN" w:bidi="ar-SA"/>
                    </w:rPr>
                    <w:t>电话、远程、上门服务</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jc w:val="center"/>
              </w:trPr>
              <w:tc>
                <w:tcPr>
                  <w:tcW w:w="912" w:type="dxa"/>
                  <w:vAlign w:val="center"/>
                </w:tcPr>
                <w:p>
                  <w:pPr>
                    <w:widowControl w:val="0"/>
                    <w:jc w:val="center"/>
                    <w:rPr>
                      <w:rFonts w:asciiTheme="minorEastAsia" w:eastAsiaTheme="minorEastAsia" w:hAnsiTheme="minorEastAsia" w:cstheme="minorEastAsia" w:hint="default"/>
                      <w:sz w:val="24"/>
                      <w:szCs w:val="24"/>
                      <w:vertAlign w:val="baseline"/>
                      <w:lang w:val="en-US" w:eastAsia="zh-CN"/>
                    </w:rPr>
                  </w:pPr>
                  <w:r>
                    <w:rPr>
                      <w:rFonts w:asciiTheme="minorEastAsia" w:eastAsiaTheme="minorEastAsia" w:hAnsiTheme="minorEastAsia" w:cstheme="minorEastAsia" w:hint="eastAsia"/>
                      <w:sz w:val="24"/>
                      <w:szCs w:val="24"/>
                      <w:vertAlign w:val="baseline"/>
                      <w:lang w:val="en-US" w:eastAsia="zh-CN"/>
                    </w:rPr>
                    <w:t>价格</w:t>
                  </w:r>
                </w:p>
              </w:tc>
              <w:tc>
                <w:tcPr>
                  <w:tcW w:w="5988" w:type="dxa"/>
                  <w:gridSpan w:val="2"/>
                  <w:vAlign w:val="center"/>
                </w:tcPr>
                <w:p>
                  <w:pPr>
                    <w:widowControl w:val="0"/>
                    <w:tabs>
                      <w:tab w:val="left" w:pos="7230"/>
                    </w:tabs>
                    <w:jc w:val="center"/>
                    <w:rPr>
                      <w:rStyle w:val="NormalCharacter"/>
                      <w:rFonts w:ascii="宋体" w:eastAsia="宋体" w:hAnsi="宋体" w:cs="宋体" w:hint="default"/>
                      <w:b w:val="0"/>
                      <w:i w:val="0"/>
                      <w:caps w:val="0"/>
                      <w:color w:val="000000" w:themeColor="text1"/>
                      <w:spacing w:val="0"/>
                      <w:w w:val="100"/>
                      <w:kern w:val="2"/>
                      <w:sz w:val="24"/>
                      <w:szCs w:val="24"/>
                      <w:lang w:val="en-US" w:eastAsia="zh-CN" w:bidi="ar-SA"/>
                    </w:rPr>
                  </w:pPr>
                  <w:r>
                    <w:rPr>
                      <w:rStyle w:val="NormalCharacter"/>
                      <w:rFonts w:ascii="宋体" w:hAnsi="宋体" w:cs="宋体" w:hint="eastAsia"/>
                      <w:b w:val="0"/>
                      <w:i w:val="0"/>
                      <w:caps w:val="0"/>
                      <w:color w:val="000000" w:themeColor="text1"/>
                      <w:spacing w:val="0"/>
                      <w:w w:val="100"/>
                      <w:kern w:val="2"/>
                      <w:sz w:val="24"/>
                      <w:szCs w:val="24"/>
                      <w:lang w:val="en-US" w:eastAsia="zh-CN" w:bidi="ar-SA"/>
                    </w:rPr>
                    <w:t>包干价：85000元/年</w:t>
                  </w:r>
                </w:p>
              </w:tc>
            </w:tr>
          </w:tbl>
          <w:p>
            <w:pPr>
              <w:keepNext w:val="0"/>
              <w:keepLines w:val="0"/>
              <w:widowControl/>
              <w:suppressLineNumbers w:val="0"/>
              <w:jc w:val="both"/>
              <w:textAlignment w:val="center"/>
              <w:rPr>
                <w:rFonts w:ascii="宋体" w:eastAsia="宋体" w:hAnsi="宋体" w:cs="宋体" w:hint="eastAsia"/>
                <w:i w:val="0"/>
                <w:color w:val="000000"/>
                <w:sz w:val="32"/>
                <w:szCs w:val="32"/>
                <w:u w:val="none"/>
              </w:rPr>
            </w:pPr>
          </w:p>
        </w:tc>
      </w:tr>
    </w:tbl>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741A0"/>
    <w:multiLevelType w:val="singleLevel"/>
    <w:tmpl w:val="EBF741A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link w:val="NormalCharacter"/>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next w:val="PlainText"/>
    <w:qFormat/>
    <w:pPr>
      <w:spacing w:after="120"/>
    </w:pPr>
    <w:rPr>
      <w:szCs w:val="20"/>
    </w:rPr>
  </w:style>
  <w:style w:type="paragraph" w:styleId="PlainText">
    <w:name w:val="Plain Text"/>
    <w:basedOn w:val="Normal"/>
    <w:qFormat/>
    <w:pPr>
      <w:autoSpaceDE w:val="0"/>
      <w:autoSpaceDN w:val="0"/>
      <w:adjustRightInd w:val="0"/>
    </w:pPr>
    <w:rPr>
      <w:rFonts w:hAnsi="Tms Rmn"/>
      <w:szCs w:val="21"/>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link w:val="Normal"/>
    <w:qFormat/>
    <w:rPr>
      <w:rFonts w:asciiTheme="minorHAnsi" w:eastAsiaTheme="minorEastAsia" w:hAnsiTheme="minorHAnsi" w:cstheme="minorBidi"/>
      <w:kern w:val="2"/>
      <w:sz w:val="21"/>
      <w:szCs w:val="24"/>
      <w:lang w:val="en-US" w:eastAsia="zh-CN" w:bidi="ar-SA"/>
    </w:rPr>
  </w:style>
  <w:style w:type="paragraph" w:customStyle="1" w:styleId="TOC1">
    <w:name w:val="TOC1"/>
    <w:basedOn w:val="Normal"/>
    <w:next w:val="Normal"/>
    <w:qFormat/>
    <w:pPr>
      <w:jc w:val="both"/>
      <w:textAlignment w:val="baseline"/>
    </w:pPr>
    <w:rPr>
      <w:rFonts w:ascii="Times New Roman" w:hAnsi="Times New Roman"/>
      <w:kern w:val="2"/>
      <w:sz w:val="21"/>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2023-06-05T09:01:12Z</cp:lastPrinted>
  <dcterms:created xsi:type="dcterms:W3CDTF">2022-04-19T08:30:00Z</dcterms:created>
  <dcterms:modified xsi:type="dcterms:W3CDTF">2023-06-05T09:02:57Z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