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  <w:t>附件1：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jc w:val="center"/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  <w:t>商家报名资料清单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jc w:val="center"/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（一）基本材料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en-US"/>
        </w:rPr>
        <w:t>1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参与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商务快线及中转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旅客营销合作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的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申请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书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。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en-US"/>
        </w:rPr>
        <w:t>2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、企业营业执照、税务登记证、组织机构代码证副本（或有统一企业社会信用代码的三证合一经营执照副本）复印件加盖公章。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en-US"/>
        </w:rPr>
        <w:t>3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、法定代表人授权委托书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（原件）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、法定代表人身份证复印件、被授权人身份证复印件。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en-US"/>
        </w:rPr>
        <w:t>4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、公司介绍资料。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5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、一般纳税人证明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（可在国家税务机关网站截图）；若是小规模纳税人，则不用提供，但需作说明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。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6、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未出现否决项的保证书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（附件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）。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二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参与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商务快线及中转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旅客营销合作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的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方案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提供候机楼内能参与双流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机场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商务快线及中转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增值服务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的资源，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包括但不限于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商业内容、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合作方式、人员配置、系统对接、费用结算等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。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il"/>
        <w:left w:val="nil"/>
        <w:bottom w:val="nil"/>
        <w:right w:val="nil"/>
        <w:between w:val="nil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Arial Unicode MS" w:eastAsia="Arial Unicode MS" w:hAnsi="Arial Unicode MS" w:cs="Arial Unicode MS" w:hint="eastAsia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2023-08-14T08:21:00Z</dcterms:created>
  <dcterms:modified xsi:type="dcterms:W3CDTF">2023-08-14T08:22:09Z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