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附件2：公开招标标段说明一览表复合业态标段</w:t>
      </w:r>
    </w:p>
    <w:tbl>
      <w:tblPr>
        <w:tblStyle w:val="TableNormal"/>
        <w:tblW w:w="4997" w:type="pc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10"/>
        <w:gridCol w:w="1262"/>
        <w:gridCol w:w="1721"/>
        <w:gridCol w:w="2809"/>
        <w:gridCol w:w="1346"/>
        <w:gridCol w:w="1407"/>
        <w:gridCol w:w="2074"/>
        <w:gridCol w:w="1162"/>
      </w:tblGrid>
      <w:tr>
        <w:tblPrEx>
          <w:tblW w:w="4997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 xml:space="preserve">业态           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备注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4997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LM-F-8D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397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复合业态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以餐饮为主，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可在餐饮、特产、百货三种业态任意组合，需至少涵盖其中两种业态。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餐饮业态面积不低于该标段总面积的90%（358平方米）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不可销售烟草、茶叶等产品。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出发下夹层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≤5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2023-07-31T07:53:30Z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A1BE2087AADE4E2E84BA798612BBCD70_12</vt:lpwstr>
  </property>
  <property fmtid="{D5CDD505-2E9C-101B-9397-08002B2CF9AE}" pid="3" name="KSOProductBuildVer">
    <vt:lpwstr>2052-11.8.6.9023</vt:lpwstr>
  </property>
</Properties>
</file>