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附件4</w:t>
      </w:r>
    </w:p>
    <w:p>
      <w:pPr>
        <w:spacing w:line="360" w:lineRule="auto"/>
        <w:jc w:val="center"/>
        <w:rPr>
          <w:rFonts w:ascii="宋体" w:hAnsi="宋体" w:eastAsiaTheme="minorEastAsia" w:hint="eastAsia"/>
          <w:b/>
          <w:sz w:val="32"/>
          <w:szCs w:val="32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综合</w:t>
      </w:r>
      <w:r>
        <w:rPr>
          <w:rFonts w:ascii="宋体" w:hAnsi="宋体" w:hint="eastAsia"/>
          <w:b w:val="0"/>
          <w:bCs/>
          <w:sz w:val="32"/>
          <w:szCs w:val="32"/>
          <w:lang w:val="en-US" w:eastAsia="zh-CN"/>
        </w:rPr>
        <w:t>评分表</w:t>
      </w:r>
    </w:p>
    <w:tbl>
      <w:tblPr>
        <w:tblStyle w:val="TableGrid"/>
        <w:tblW w:w="95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8"/>
        <w:gridCol w:w="1644"/>
        <w:gridCol w:w="5650"/>
      </w:tblGrid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投标人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综合能力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（30分）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财务状况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（8分）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方近三年营业收入情况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（4分）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平均营业收入高于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000万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元得4分，800万到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000万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元（含）得3.5分，600万到800万（含）得3分，400-600万（含）得2.5分，200-400万（含）得2分，100-200万（含）得1.5分，50-100万（含）得1分，10-50万（含）得0.5分，10万以下不得分。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方近三年资产负债情况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（4分）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资产负债率低于35%（含）得4分，35%-45%（含）得3分，45%-55%（含）得2分，55%到65%（含）得1分，高于65%不得分。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荣誉和业绩（8分）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方经营经验情况（4分）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highlight w:val="non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/>
              </w:rPr>
              <w:t>在6家以上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交通枢纽口岸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/>
              </w:rPr>
              <w:t>经营打包业务得4分，4家以上得3分，2家以上2分，1家以上1分，没有不得分。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方同类业务在其他同行业获奖情况（4分）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highlight w:val="non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/>
              </w:rPr>
              <w:t>投标人自行提供近三年荣获的国内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交通运输航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highlight w:val="none"/>
                <w:lang/>
              </w:rPr>
              <w:t>业表彰的获奖证书（公司级），每份证明得1分，累计得分最高不超过4分。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运营方案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（13分）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方经营策略、人员服务水平、服务收费标准合理性等情况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管理制度齐全（0-2分），人员配置合理充分（0-3分），服务承诺、服务投诉处理等服务质量管理情况（0-4）、项目经营方案、经营销售预测等情况（0-4）。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响应文件规范性（1分）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响应文件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制作规范情况</w:t>
            </w:r>
          </w:p>
        </w:tc>
        <w:tc>
          <w:tcPr>
            <w:tcW w:w="5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响应文件制作规范，除招商文件中相关要求以外，还应满足：1、响应文件从第一页开始逐页编页码；2、页码在下方；3、若分册的，每一册的页码重新从第一页排列，每一册目录单列。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没有细微偏差情形的得1分；有一项细微偏差扣0.5分，直至该项分值扣完为止。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商务评分（70分）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经营租金（35分）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每年缴纳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经营租金额</w:t>
            </w:r>
          </w:p>
        </w:tc>
        <w:tc>
          <w:tcPr>
            <w:tcW w:w="5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经营租金底价为285.9万元/年，单位旅客计费标准不得低于底价（0.1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元/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val="en-US" w:eastAsia="zh-CN"/>
              </w:rPr>
              <w:t>人次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），若低于底价则取消评标资格。（1）通过初步评审的有效单位旅客计费标准报价和经营租金底价，分别计算出平均值（四舍五入保留一位小数），在该平均值1.2倍以内的，以最高报价为基准价，报价等于基准价即得满分35分。（2）报名方报价每低于基准价一个百分点扣1分，扣完项目为止。（3）报名方提成比例报价超过该平均值1.2倍的，报价每超过该平均值1.2倍一个百分点扣0.5分，扣完项目分为止。</w:t>
            </w:r>
          </w:p>
        </w:tc>
      </w:tr>
      <w:tr>
        <w:tblPrEx>
          <w:tblW w:w="9562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  <w:jc w:val="center"/>
        </w:trPr>
        <w:tc>
          <w:tcPr>
            <w:tcW w:w="1020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旅客吞吐量单人次计费（35分）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单位旅客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计费标准</w:t>
            </w:r>
          </w:p>
        </w:tc>
        <w:tc>
          <w:tcPr>
            <w:tcW w:w="5650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>
      <w:pPr>
        <w:spacing w:line="500" w:lineRule="exact"/>
        <w:rPr>
          <w:rFonts w:ascii="宋体" w:hAnsi="宋体"/>
          <w:b/>
          <w:szCs w:val="21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2023-09-11T02:37:36Z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