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rPr>
          <w:rFonts w:hint="eastAsia"/>
          <w:sz w:val="28"/>
          <w:szCs w:val="36"/>
          <w:lang w:val="en-US" w:eastAsia="zh-CN"/>
        </w:rPr>
      </w:pPr>
      <w:bookmarkStart w:id="0" w:name="_Toc15600"/>
      <w:r>
        <w:rPr>
          <w:rFonts w:hint="eastAsia"/>
          <w:sz w:val="28"/>
          <w:szCs w:val="36"/>
          <w:lang w:val="en-US" w:eastAsia="zh-CN"/>
        </w:rPr>
        <w:t>附件1-2：商家资料清单（休闲及其他类）</w:t>
      </w:r>
    </w:p>
    <w:p>
      <w:pPr>
        <w:pStyle w:val="NormalWeb"/>
        <w:shd w:val="clear" w:color="auto" w:fill="FFFFFF"/>
        <w:spacing w:before="0" w:beforeAutospacing="0" w:after="0" w:afterAutospacing="0" w:line="360" w:lineRule="auto"/>
        <w:jc w:val="center"/>
        <w:rPr>
          <w:rFonts w:eastAsia="宋体" w:hint="eastAsia"/>
          <w:b/>
          <w:sz w:val="32"/>
          <w:szCs w:val="32"/>
          <w:lang w:eastAsia="zh-CN"/>
        </w:rPr>
      </w:pPr>
      <w:r>
        <w:rPr>
          <w:rFonts w:hint="eastAsia"/>
          <w:b/>
          <w:sz w:val="32"/>
          <w:szCs w:val="32"/>
          <w:lang w:val="en-US" w:eastAsia="zh-CN"/>
        </w:rPr>
        <w:t>商家</w:t>
      </w:r>
      <w:r>
        <w:rPr>
          <w:rFonts w:hint="eastAsia"/>
          <w:b/>
          <w:sz w:val="32"/>
          <w:szCs w:val="32"/>
        </w:rPr>
        <w:t>报名资料</w:t>
      </w:r>
      <w:r>
        <w:rPr>
          <w:b/>
          <w:sz w:val="32"/>
          <w:szCs w:val="32"/>
        </w:rPr>
        <w:t>清单</w:t>
      </w:r>
      <w:r>
        <w:rPr>
          <w:rFonts w:hint="eastAsia"/>
          <w:b/>
          <w:sz w:val="32"/>
          <w:szCs w:val="32"/>
          <w:lang w:eastAsia="zh-CN"/>
        </w:rPr>
        <w:t>（</w:t>
      </w:r>
      <w:r>
        <w:rPr>
          <w:rFonts w:hint="eastAsia"/>
          <w:b/>
          <w:sz w:val="32"/>
          <w:szCs w:val="32"/>
          <w:lang w:val="en-US" w:eastAsia="zh-CN"/>
        </w:rPr>
        <w:t>休闲及其他类</w:t>
      </w:r>
      <w:r>
        <w:rPr>
          <w:rFonts w:hint="eastAsia"/>
          <w:b/>
          <w:sz w:val="32"/>
          <w:szCs w:val="32"/>
          <w:lang w:eastAsia="zh-CN"/>
        </w:rPr>
        <w:t>）</w:t>
      </w:r>
    </w:p>
    <w:p>
      <w:pPr>
        <w:pStyle w:val="a"/>
        <w:numPr>
          <w:ilvl w:val="0"/>
          <w:numId w:val="0"/>
        </w:numPr>
        <w:spacing w:line="360" w:lineRule="auto"/>
        <w:jc w:val="both"/>
        <w:outlineLvl w:val="1"/>
        <w:rPr>
          <w:color w:val="auto"/>
          <w:highlight w:val="none"/>
        </w:rPr>
      </w:pPr>
    </w:p>
    <w:p>
      <w:pPr>
        <w:pStyle w:val="a"/>
        <w:numPr>
          <w:ilvl w:val="0"/>
          <w:numId w:val="1"/>
        </w:numPr>
        <w:spacing w:line="360" w:lineRule="auto"/>
        <w:jc w:val="both"/>
        <w:outlineLvl w:val="1"/>
        <w:rPr>
          <w:color w:val="auto"/>
          <w:highlight w:val="none"/>
        </w:rPr>
      </w:pPr>
      <w:r>
        <w:rPr>
          <w:rFonts w:ascii="宋体" w:hAnsi="宋体" w:cs="宋体" w:hint="eastAsia"/>
          <w:b/>
          <w:bCs/>
          <w:color w:val="auto"/>
          <w:highlight w:val="none"/>
        </w:rPr>
        <w:t>技术方案分册目录</w:t>
      </w:r>
      <w:bookmarkEnd w:id="0"/>
      <w:bookmarkStart w:id="1" w:name="_Toc20296"/>
      <w:bookmarkEnd w:id="1"/>
    </w:p>
    <w:tbl>
      <w:tblPr>
        <w:tblStyle w:val="TableGrid"/>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8"/>
        <w:gridCol w:w="1517"/>
        <w:gridCol w:w="2306"/>
        <w:gridCol w:w="2534"/>
        <w:gridCol w:w="1520"/>
      </w:tblGrid>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一级目录</w:t>
            </w:r>
          </w:p>
        </w:tc>
        <w:tc>
          <w:tcPr>
            <w:tcW w:w="1517"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二级目录</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三级目录</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备注</w:t>
            </w:r>
          </w:p>
        </w:tc>
        <w:tc>
          <w:tcPr>
            <w:tcW w:w="1520"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对应页码</w:t>
            </w: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1.基本情况</w:t>
            </w:r>
          </w:p>
        </w:tc>
        <w:tc>
          <w:tcPr>
            <w:tcW w:w="1517"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基本资料及承诺书</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1.1合作申请书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按照合作申请书格式签字并加盖单位公章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1.2企业法人营业执照副本复印件</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1.3法人、授权委托人身份证明复印件及授权委托书原件</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1.4符合条件承诺书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若</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无</w:t>
            </w:r>
            <w:r>
              <w:rPr>
                <w:rFonts w:ascii="宋体" w:hAnsi="宋体" w:cs="宋体" w:hint="eastAsia"/>
                <w:color w:val="auto"/>
                <w:szCs w:val="21"/>
                <w:highlight w:val="none"/>
                <w:lang w:eastAsia="zh-CN"/>
              </w:rPr>
              <w:t>公开招商文件</w:t>
            </w:r>
            <w:r>
              <w:rPr>
                <w:rFonts w:ascii="宋体" w:hAnsi="宋体" w:cs="宋体" w:hint="eastAsia"/>
                <w:color w:val="auto"/>
                <w:szCs w:val="21"/>
                <w:highlight w:val="none"/>
              </w:rPr>
              <w:t>中不合格</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情形，需要提交承诺书，加盖单位公章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1.5未被列为严重违法失信企业名单（黑名单）截图</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须在</w:t>
            </w:r>
            <w:r>
              <w:rPr>
                <w:rFonts w:ascii="宋体" w:hAnsi="宋体" w:cs="宋体" w:hint="eastAsia"/>
                <w:color w:val="auto"/>
                <w:szCs w:val="21"/>
                <w:highlight w:val="none"/>
                <w:lang w:eastAsia="zh-CN"/>
              </w:rPr>
              <w:t>公开招商文件</w:t>
            </w:r>
            <w:r>
              <w:rPr>
                <w:rFonts w:ascii="宋体" w:hAnsi="宋体" w:cs="宋体" w:hint="eastAsia"/>
                <w:color w:val="auto"/>
                <w:szCs w:val="21"/>
                <w:highlight w:val="none"/>
              </w:rPr>
              <w:t>发布后从“国家企业信用信息公示系统”网站（www.gsxt.gov.cn）截图并加盖公章。</w:t>
            </w:r>
          </w:p>
          <w:p>
            <w:pPr>
              <w:spacing w:line="360" w:lineRule="auto"/>
              <w:rPr>
                <w:rFonts w:ascii="宋体" w:hAnsi="宋体" w:cs="宋体"/>
                <w:color w:val="auto"/>
                <w:szCs w:val="21"/>
                <w:highlight w:val="none"/>
              </w:rPr>
            </w:pP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37"/>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1.6保密承诺书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2.综合实力</w:t>
            </w:r>
          </w:p>
        </w:tc>
        <w:tc>
          <w:tcPr>
            <w:tcW w:w="1517"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综合实力</w:t>
            </w:r>
          </w:p>
        </w:tc>
        <w:tc>
          <w:tcPr>
            <w:tcW w:w="2306" w:type="dxa"/>
            <w:vAlign w:val="center"/>
          </w:tcPr>
          <w:p>
            <w:pPr>
              <w:spacing w:line="360" w:lineRule="auto"/>
              <w:rPr>
                <w:rFonts w:ascii="宋体" w:hAnsi="宋体" w:eastAsiaTheme="minorEastAsia" w:cs="宋体"/>
                <w:color w:val="auto"/>
                <w:szCs w:val="21"/>
                <w:highlight w:val="none"/>
              </w:rPr>
            </w:pPr>
            <w:r>
              <w:rPr>
                <w:rFonts w:asciiTheme="minorEastAsia" w:eastAsiaTheme="minorEastAsia" w:hAnsiTheme="minorEastAsia" w:cs="宋体" w:hint="eastAsia"/>
                <w:color w:val="auto"/>
                <w:szCs w:val="21"/>
                <w:highlight w:val="none"/>
              </w:rPr>
              <w:t>2.1</w:t>
            </w:r>
            <w:r>
              <w:rPr>
                <w:rFonts w:asciiTheme="minorEastAsia" w:eastAsiaTheme="minorEastAsia" w:hAnsiTheme="minorEastAsia" w:cs="宋体" w:hint="eastAsia"/>
                <w:color w:val="auto"/>
                <w:szCs w:val="21"/>
                <w:highlight w:val="none"/>
                <w:lang w:eastAsia="zh-CN"/>
              </w:rPr>
              <w:t>商家</w:t>
            </w:r>
            <w:r>
              <w:rPr>
                <w:rFonts w:asciiTheme="minorEastAsia" w:eastAsiaTheme="minorEastAsia" w:hAnsiTheme="minorEastAsia" w:cs="宋体" w:hint="eastAsia"/>
                <w:color w:val="auto"/>
                <w:szCs w:val="21"/>
                <w:highlight w:val="none"/>
              </w:rPr>
              <w:t>提供经审计的20</w:t>
            </w:r>
            <w:r>
              <w:rPr>
                <w:rFonts w:asciiTheme="minorEastAsia" w:eastAsiaTheme="minorEastAsia" w:hAnsiTheme="minorEastAsia" w:cs="宋体" w:hint="eastAsia"/>
                <w:color w:val="auto"/>
                <w:szCs w:val="21"/>
                <w:highlight w:val="none"/>
                <w:lang w:val="en-US" w:eastAsia="zh-CN"/>
              </w:rPr>
              <w:t>19</w:t>
            </w:r>
            <w:r>
              <w:rPr>
                <w:rFonts w:asciiTheme="minorEastAsia" w:eastAsiaTheme="minorEastAsia" w:hAnsiTheme="minorEastAsia" w:cs="宋体" w:hint="eastAsia"/>
                <w:color w:val="auto"/>
                <w:szCs w:val="21"/>
                <w:highlight w:val="none"/>
              </w:rPr>
              <w:t>-202</w:t>
            </w:r>
            <w:r>
              <w:rPr>
                <w:rFonts w:asciiTheme="minorEastAsia" w:eastAsiaTheme="minorEastAsia" w:hAnsiTheme="minorEastAsia" w:cs="宋体" w:hint="eastAsia"/>
                <w:color w:val="auto"/>
                <w:szCs w:val="21"/>
                <w:highlight w:val="none"/>
                <w:lang w:val="en-US" w:eastAsia="zh-CN"/>
              </w:rPr>
              <w:t>2</w:t>
            </w:r>
            <w:r>
              <w:rPr>
                <w:rFonts w:asciiTheme="minorEastAsia" w:eastAsiaTheme="minorEastAsia" w:hAnsiTheme="minorEastAsia" w:cs="宋体" w:hint="eastAsia"/>
                <w:color w:val="auto"/>
                <w:szCs w:val="21"/>
                <w:highlight w:val="none"/>
              </w:rPr>
              <w:t>年中任意连续三年的财务报表复印件（须有会计师事务所签章）</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其中包括：资产负债表、利润表，加盖单位公章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2.2 202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或202</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年度纳税信用等级证明</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restart"/>
            <w:vAlign w:val="center"/>
          </w:tcPr>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3.经营能力</w:t>
            </w:r>
          </w:p>
        </w:tc>
        <w:tc>
          <w:tcPr>
            <w:tcW w:w="1517"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3.1</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及其分子公司在中国年旅客吞吐量</w:t>
            </w:r>
            <w:r>
              <w:rPr>
                <w:rFonts w:ascii="宋体" w:hAnsi="宋体" w:cs="宋体" w:hint="eastAsia"/>
                <w:color w:val="auto"/>
                <w:szCs w:val="21"/>
                <w:highlight w:val="none"/>
                <w:lang w:eastAsia="zh-CN"/>
              </w:rPr>
              <w:t>2021-2023</w:t>
            </w:r>
            <w:r>
              <w:rPr>
                <w:rFonts w:ascii="宋体" w:hAnsi="宋体" w:cs="宋体" w:hint="eastAsia"/>
                <w:color w:val="auto"/>
                <w:szCs w:val="21"/>
                <w:highlight w:val="none"/>
              </w:rPr>
              <w:t>年期间任意一年1500万人次以上及港澳台机场的布局情况</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3.1.1布局列表</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3.1.2布局列表的证明文件，包括但不限于合同复印件或业主方证明</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3.2</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及其分子公司在国内省会城市及直辖市市区、深圳市区、港澳台的布局情况</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3.2.1布局列表</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3.2.2布局列表证明文件，包括但不限于合同复印件或业主方证明。</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3.3经营模式及</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提供品牌直营或授权经营模式的承诺书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3.4经营表现</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商家2021-2023</w:t>
            </w:r>
            <w:r>
              <w:rPr>
                <w:rFonts w:ascii="宋体" w:hAnsi="宋体" w:cs="宋体" w:hint="eastAsia"/>
                <w:color w:val="auto"/>
                <w:szCs w:val="21"/>
                <w:highlight w:val="none"/>
              </w:rPr>
              <w:t>年受国内机场业主方的获奖情况，提供获奖证书（公司级）</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清晰的证书复印件，加盖公章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restart"/>
            <w:vAlign w:val="center"/>
          </w:tcPr>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hint="eastAsia"/>
                <w:color w:val="auto"/>
                <w:szCs w:val="21"/>
                <w:highlight w:val="none"/>
              </w:rPr>
            </w:pPr>
            <w:r>
              <w:rPr>
                <w:rFonts w:ascii="宋体" w:hAnsi="宋体" w:cs="宋体" w:hint="eastAsia"/>
                <w:color w:val="auto"/>
                <w:szCs w:val="21"/>
                <w:highlight w:val="none"/>
              </w:rPr>
              <w:t>4.经营方案</w:t>
            </w:r>
          </w:p>
          <w:p>
            <w:pPr>
              <w:spacing w:line="360" w:lineRule="auto"/>
              <w:rPr>
                <w:rFonts w:ascii="宋体" w:hAnsi="宋体" w:cs="宋体"/>
                <w:color w:val="auto"/>
                <w:szCs w:val="21"/>
                <w:highlight w:val="none"/>
              </w:rPr>
            </w:pPr>
          </w:p>
        </w:tc>
        <w:tc>
          <w:tcPr>
            <w:tcW w:w="1517"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4.1装修方案、效果图</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品牌统一的装修风格效果图；或者</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针对机场标段的装修方案及效果图</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4</w:t>
            </w:r>
            <w:r>
              <w:rPr>
                <w:rFonts w:ascii="宋体" w:hAnsi="宋体" w:cs="宋体"/>
                <w:color w:val="auto"/>
                <w:szCs w:val="21"/>
                <w:highlight w:val="none"/>
              </w:rPr>
              <w:t>.2</w:t>
            </w:r>
            <w:r>
              <w:rPr>
                <w:rFonts w:ascii="宋体" w:hAnsi="宋体" w:cs="宋体" w:hint="eastAsia"/>
                <w:color w:val="auto"/>
                <w:szCs w:val="21"/>
                <w:highlight w:val="none"/>
              </w:rPr>
              <w:t>本项目特色服务</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向旅客提供特色服务承诺书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4.</w:t>
            </w:r>
            <w:r>
              <w:rPr>
                <w:rFonts w:ascii="宋体" w:hAnsi="宋体" w:cs="宋体"/>
                <w:color w:val="auto"/>
                <w:szCs w:val="21"/>
                <w:highlight w:val="none"/>
              </w:rPr>
              <w:t>3</w:t>
            </w:r>
            <w:r>
              <w:rPr>
                <w:rFonts w:ascii="宋体" w:hAnsi="宋体" w:cs="宋体" w:hint="eastAsia"/>
                <w:color w:val="auto"/>
                <w:szCs w:val="21"/>
                <w:highlight w:val="none"/>
              </w:rPr>
              <w:t>管理制度</w:t>
            </w:r>
          </w:p>
        </w:tc>
        <w:tc>
          <w:tcPr>
            <w:tcW w:w="2306" w:type="dxa"/>
            <w:vAlign w:val="center"/>
          </w:tcPr>
          <w:p>
            <w:pPr>
              <w:pStyle w:val="11"/>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4.</w:t>
            </w:r>
            <w:r>
              <w:rPr>
                <w:rFonts w:ascii="宋体" w:hAnsi="宋体" w:cs="宋体"/>
                <w:color w:val="auto"/>
                <w:szCs w:val="21"/>
                <w:highlight w:val="none"/>
              </w:rPr>
              <w:t>3</w:t>
            </w:r>
            <w:r>
              <w:rPr>
                <w:rFonts w:ascii="宋体" w:hAnsi="宋体" w:cs="宋体" w:hint="eastAsia"/>
                <w:color w:val="auto"/>
                <w:szCs w:val="21"/>
                <w:highlight w:val="none"/>
              </w:rPr>
              <w:t>.1日常管理制度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4.</w:t>
            </w:r>
            <w:r>
              <w:rPr>
                <w:rFonts w:ascii="宋体" w:hAnsi="宋体" w:cs="宋体"/>
                <w:color w:val="auto"/>
                <w:szCs w:val="21"/>
                <w:highlight w:val="none"/>
              </w:rPr>
              <w:t>3</w:t>
            </w:r>
            <w:r>
              <w:rPr>
                <w:rFonts w:ascii="宋体" w:hAnsi="宋体" w:cs="宋体" w:hint="eastAsia"/>
                <w:color w:val="auto"/>
                <w:szCs w:val="21"/>
                <w:highlight w:val="none"/>
              </w:rPr>
              <w:t>.2应急制度（含投诉处理制度）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color w:val="auto"/>
                <w:szCs w:val="21"/>
                <w:highlight w:val="none"/>
              </w:rPr>
              <w:t>4.3.3库存管理制度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Align w:val="center"/>
          </w:tcPr>
          <w:p>
            <w:pPr>
              <w:spacing w:line="360" w:lineRule="auto"/>
              <w:rPr>
                <w:rFonts w:ascii="宋体" w:hAnsi="宋体" w:cs="宋体"/>
                <w:color w:val="auto"/>
                <w:szCs w:val="21"/>
                <w:highlight w:val="none"/>
              </w:rPr>
            </w:pPr>
            <w:r>
              <w:rPr>
                <w:rFonts w:ascii="宋体" w:hAnsi="宋体" w:cs="宋体" w:hint="default"/>
                <w:color w:val="auto"/>
                <w:szCs w:val="21"/>
                <w:highlight w:val="none"/>
              </w:rPr>
              <w:t>4.4</w:t>
            </w:r>
            <w:r>
              <w:rPr>
                <w:rFonts w:ascii="宋体" w:hAnsi="宋体" w:cs="宋体" w:hint="eastAsia"/>
                <w:color w:val="auto"/>
                <w:szCs w:val="21"/>
                <w:highlight w:val="none"/>
              </w:rPr>
              <w:t>品牌介绍</w:t>
            </w:r>
          </w:p>
        </w:tc>
        <w:tc>
          <w:tcPr>
            <w:tcW w:w="2306" w:type="dxa"/>
            <w:vAlign w:val="center"/>
          </w:tcPr>
          <w:p>
            <w:pPr>
              <w:spacing w:line="360" w:lineRule="auto"/>
              <w:rPr>
                <w:color w:val="auto"/>
                <w:highlight w:val="none"/>
              </w:rPr>
            </w:pPr>
            <w:r>
              <w:rPr>
                <w:rFonts w:asciiTheme="minorEastAsia" w:eastAsiaTheme="minorEastAsia" w:hAnsiTheme="minorEastAsia" w:cs="宋体" w:hint="eastAsia"/>
                <w:color w:val="auto"/>
                <w:szCs w:val="21"/>
                <w:highlight w:val="none"/>
                <w:lang w:val="en-US" w:eastAsia="zh-CN"/>
              </w:rPr>
              <w:t>4.4</w:t>
            </w:r>
            <w:r>
              <w:rPr>
                <w:rFonts w:asciiTheme="minorEastAsia" w:eastAsiaTheme="minorEastAsia" w:hAnsiTheme="minorEastAsia" w:cs="宋体" w:hint="eastAsia"/>
                <w:color w:val="auto"/>
                <w:szCs w:val="21"/>
                <w:highlight w:val="none"/>
              </w:rPr>
              <w:t>品牌的介绍资料，时须提供品牌定位证明资料，包括但不限于入驻当地机场或购物中心、热门商业街区及名称，产品价格，品牌介绍，大众点评</w:t>
            </w:r>
            <w:r>
              <w:rPr>
                <w:rFonts w:asciiTheme="minorEastAsia" w:eastAsiaTheme="minorEastAsia" w:hAnsiTheme="minorEastAsia" w:cs="宋体" w:hint="eastAsia"/>
                <w:color w:val="auto"/>
                <w:szCs w:val="21"/>
                <w:highlight w:val="none"/>
                <w:lang/>
              </w:rPr>
              <w:t>得分</w:t>
            </w:r>
            <w:r>
              <w:rPr>
                <w:rFonts w:asciiTheme="minorEastAsia" w:eastAsiaTheme="minorEastAsia" w:hAnsiTheme="minorEastAsia" w:cs="宋体" w:hint="eastAsia"/>
                <w:color w:val="auto"/>
                <w:szCs w:val="21"/>
                <w:highlight w:val="none"/>
              </w:rPr>
              <w:t>截图等。</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Align w:val="center"/>
          </w:tcPr>
          <w:p>
            <w:pPr>
              <w:spacing w:line="360" w:lineRule="auto"/>
              <w:rPr>
                <w:rFonts w:ascii="宋体" w:hAnsi="宋体" w:cs="宋体"/>
                <w:color w:val="auto"/>
                <w:szCs w:val="21"/>
                <w:highlight w:val="none"/>
              </w:rPr>
            </w:pPr>
            <w:r>
              <w:rPr>
                <w:rFonts w:ascii="宋体" w:hAnsi="宋体" w:cs="宋体" w:hint="default"/>
                <w:color w:val="auto"/>
                <w:szCs w:val="21"/>
                <w:highlight w:val="none"/>
              </w:rPr>
              <w:t>4.5</w:t>
            </w:r>
            <w:r>
              <w:rPr>
                <w:rFonts w:ascii="宋体" w:hAnsi="宋体" w:cs="宋体" w:hint="eastAsia"/>
                <w:color w:val="auto"/>
                <w:szCs w:val="21"/>
                <w:highlight w:val="none"/>
              </w:rPr>
              <w:t>品牌权益证明</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lang w:val="en-US" w:eastAsia="zh-CN"/>
              </w:rPr>
              <w:t>4.5</w:t>
            </w:r>
            <w:r>
              <w:rPr>
                <w:rFonts w:ascii="宋体" w:hAnsi="宋体" w:cs="宋体" w:hint="eastAsia"/>
                <w:color w:val="auto"/>
                <w:szCs w:val="21"/>
                <w:highlight w:val="none"/>
              </w:rPr>
              <w:t>品牌的商标注册证及授权书。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若</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经营多个品牌，需要分别提供品牌资料、注册证及授权书，并加盖单位公章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49"/>
          <w:jc w:val="center"/>
        </w:trPr>
        <w:tc>
          <w:tcPr>
            <w:tcW w:w="1288" w:type="dxa"/>
            <w:vAlign w:val="center"/>
          </w:tcPr>
          <w:p>
            <w:pPr>
              <w:spacing w:line="360" w:lineRule="auto"/>
              <w:rPr>
                <w:rFonts w:ascii="宋体" w:hAnsi="宋体" w:cs="宋体"/>
                <w:color w:val="auto"/>
                <w:szCs w:val="21"/>
                <w:highlight w:val="none"/>
              </w:rPr>
            </w:pPr>
            <w:r>
              <w:rPr>
                <w:rFonts w:ascii="宋体" w:hAnsi="宋体" w:cs="宋体" w:hint="default"/>
                <w:color w:val="auto"/>
                <w:szCs w:val="21"/>
                <w:highlight w:val="none"/>
              </w:rPr>
              <w:t>5</w:t>
            </w:r>
            <w:r>
              <w:rPr>
                <w:rFonts w:ascii="宋体" w:hAnsi="宋体" w:cs="宋体" w:hint="eastAsia"/>
                <w:color w:val="auto"/>
                <w:szCs w:val="21"/>
                <w:highlight w:val="none"/>
              </w:rPr>
              <w:t>.</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需要提供的其他资料</w:t>
            </w:r>
          </w:p>
        </w:tc>
        <w:tc>
          <w:tcPr>
            <w:tcW w:w="7877" w:type="dxa"/>
            <w:gridSpan w:val="4"/>
            <w:vAlign w:val="center"/>
          </w:tcPr>
          <w:p>
            <w:pPr>
              <w:pStyle w:val="a"/>
              <w:rPr>
                <w:rFonts w:ascii="宋体" w:hAnsi="宋体" w:cs="宋体"/>
                <w:color w:val="auto"/>
                <w:sz w:val="21"/>
                <w:szCs w:val="21"/>
                <w:highlight w:val="none"/>
              </w:rPr>
            </w:pPr>
            <w:r>
              <w:rPr>
                <w:rFonts w:ascii="宋体" w:hAnsi="宋体" w:cs="宋体" w:hint="eastAsia"/>
                <w:color w:val="auto"/>
                <w:sz w:val="21"/>
                <w:szCs w:val="21"/>
                <w:highlight w:val="none"/>
              </w:rPr>
              <w:t>（1）对标承诺书</w:t>
            </w:r>
            <w:r>
              <w:rPr>
                <w:rFonts w:ascii="宋体" w:hAnsi="宋体" w:cs="宋体" w:hint="eastAsia"/>
                <w:color w:val="auto"/>
                <w:sz w:val="21"/>
                <w:szCs w:val="21"/>
                <w:highlight w:val="none"/>
                <w:lang/>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rPr>
              <w:t>（</w:t>
            </w:r>
            <w:r>
              <w:rPr>
                <w:rFonts w:ascii="宋体" w:hAnsi="宋体" w:cs="宋体" w:hint="default"/>
                <w:color w:val="auto"/>
                <w:szCs w:val="21"/>
                <w:highlight w:val="none"/>
              </w:rPr>
              <w:t>2</w:t>
            </w:r>
            <w:r>
              <w:rPr>
                <w:rFonts w:ascii="宋体" w:hAnsi="宋体" w:cs="宋体" w:hint="eastAsia"/>
                <w:color w:val="auto"/>
                <w:szCs w:val="21"/>
                <w:highlight w:val="none"/>
              </w:rPr>
              <w:t>）</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认为需要提供的其他资料。</w:t>
            </w:r>
          </w:p>
        </w:tc>
      </w:tr>
    </w:tbl>
    <w:p>
      <w:pPr>
        <w:spacing w:line="360" w:lineRule="auto"/>
        <w:rPr>
          <w:rFonts w:ascii="宋体" w:hAnsi="宋体" w:cs="宋体"/>
          <w:b/>
          <w:bCs/>
          <w:color w:val="auto"/>
          <w:sz w:val="24"/>
          <w:highlight w:val="none"/>
        </w:rPr>
      </w:pPr>
      <w:r>
        <w:rPr>
          <w:rFonts w:ascii="宋体" w:hAnsi="宋体" w:cs="宋体" w:hint="eastAsia"/>
          <w:b/>
          <w:bCs/>
          <w:color w:val="auto"/>
          <w:sz w:val="24"/>
          <w:highlight w:val="none"/>
        </w:rPr>
        <w:t>二、商务方案分册</w:t>
      </w:r>
    </w:p>
    <w:tbl>
      <w:tblPr>
        <w:tblStyle w:val="TableGrid"/>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8"/>
        <w:gridCol w:w="1320"/>
        <w:gridCol w:w="2503"/>
        <w:gridCol w:w="1704"/>
        <w:gridCol w:w="1704"/>
      </w:tblGrid>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6"/>
        </w:trPr>
        <w:tc>
          <w:tcPr>
            <w:tcW w:w="1288"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商务方案</w:t>
            </w:r>
          </w:p>
        </w:tc>
        <w:tc>
          <w:tcPr>
            <w:tcW w:w="1320"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商务报价</w:t>
            </w:r>
          </w:p>
        </w:tc>
        <w:tc>
          <w:tcPr>
            <w:tcW w:w="2503"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月经营费用单价</w:t>
            </w:r>
          </w:p>
        </w:tc>
        <w:tc>
          <w:tcPr>
            <w:tcW w:w="170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按人格式提供，并加盖公司公章</w:t>
            </w:r>
          </w:p>
        </w:tc>
        <w:tc>
          <w:tcPr>
            <w:tcW w:w="1704" w:type="dxa"/>
            <w:vAlign w:val="center"/>
          </w:tcPr>
          <w:p>
            <w:pPr>
              <w:spacing w:line="360" w:lineRule="auto"/>
              <w:rPr>
                <w:rFonts w:ascii="宋体" w:hAnsi="宋体" w:cs="宋体"/>
                <w:color w:val="auto"/>
                <w:szCs w:val="21"/>
                <w:highlight w:val="none"/>
              </w:rPr>
            </w:pPr>
          </w:p>
        </w:tc>
      </w:tr>
    </w:tbl>
    <w:p>
      <w:pPr>
        <w:spacing w:line="360" w:lineRule="auto"/>
        <w:rPr>
          <w:rFonts w:ascii="宋体" w:hAnsi="宋体" w:cs="宋体"/>
          <w:color w:val="auto"/>
          <w:sz w:val="24"/>
          <w:highlight w:val="none"/>
        </w:rPr>
      </w:pP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注：</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须严格按照以上</w:t>
      </w:r>
      <w:r>
        <w:rPr>
          <w:rFonts w:ascii="宋体" w:hAnsi="宋体" w:cs="宋体" w:hint="eastAsia"/>
          <w:color w:val="auto"/>
          <w:szCs w:val="21"/>
          <w:highlight w:val="none"/>
          <w:lang w:eastAsia="zh-CN"/>
        </w:rPr>
        <w:t>公开招商文件</w:t>
      </w:r>
      <w:r>
        <w:rPr>
          <w:rFonts w:ascii="宋体" w:hAnsi="宋体" w:cs="宋体" w:hint="eastAsia"/>
          <w:color w:val="auto"/>
          <w:szCs w:val="21"/>
          <w:highlight w:val="none"/>
        </w:rPr>
        <w:t>目录表进行编写，如未按要求编写所造成对结果的影响，由</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自行承担。</w:t>
      </w:r>
    </w:p>
    <w:p>
      <w:pPr>
        <w:pStyle w:val="a"/>
        <w:rPr>
          <w:rFonts w:ascii="宋体" w:hAnsi="宋体" w:cs="宋体"/>
          <w:color w:val="auto"/>
          <w:highlight w:val="none"/>
        </w:rPr>
      </w:pPr>
    </w:p>
    <w:p>
      <w:pPr>
        <w:widowControl/>
        <w:ind w:firstLine="422"/>
        <w:jc w:val="left"/>
        <w:rPr>
          <w:rFonts w:ascii="宋体" w:hAnsi="宋体" w:cs="宋体"/>
          <w:color w:val="auto"/>
          <w:szCs w:val="21"/>
          <w:highlight w:val="none"/>
        </w:rPr>
      </w:pPr>
      <w:r>
        <w:rPr>
          <w:rFonts w:ascii="宋体" w:hAnsi="宋体" w:cs="宋体" w:hint="eastAsia"/>
          <w:b/>
          <w:bCs/>
          <w:color w:val="auto"/>
          <w:szCs w:val="21"/>
          <w:highlight w:val="none"/>
        </w:rPr>
        <w:t>（一）技术方案分册</w:t>
      </w:r>
    </w:p>
    <w:p>
      <w:pPr>
        <w:numPr>
          <w:ilvl w:val="0"/>
          <w:numId w:val="2"/>
        </w:numPr>
        <w:spacing w:line="360" w:lineRule="auto"/>
        <w:ind w:firstLine="422"/>
        <w:jc w:val="left"/>
        <w:outlineLvl w:val="1"/>
        <w:rPr>
          <w:rFonts w:ascii="宋体" w:hAnsi="宋体" w:cs="宋体"/>
          <w:b/>
          <w:bCs/>
          <w:color w:val="auto"/>
          <w:szCs w:val="21"/>
          <w:highlight w:val="none"/>
        </w:rPr>
      </w:pPr>
      <w:bookmarkStart w:id="2" w:name="_Toc31719"/>
      <w:r>
        <w:rPr>
          <w:rFonts w:ascii="宋体" w:hAnsi="宋体" w:cs="宋体" w:hint="eastAsia"/>
          <w:b/>
          <w:bCs/>
          <w:color w:val="auto"/>
          <w:szCs w:val="21"/>
          <w:highlight w:val="none"/>
        </w:rPr>
        <w:t>基本情况</w:t>
      </w:r>
      <w:bookmarkEnd w:id="2"/>
    </w:p>
    <w:p>
      <w:pPr>
        <w:spacing w:line="360" w:lineRule="auto"/>
        <w:ind w:firstLine="420"/>
        <w:jc w:val="left"/>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公开招商文件</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名称】，遵照</w:t>
      </w:r>
      <w:r>
        <w:rPr>
          <w:rFonts w:ascii="宋体" w:hAnsi="宋体" w:cs="宋体" w:hint="eastAsia"/>
          <w:color w:val="auto"/>
          <w:szCs w:val="21"/>
          <w:highlight w:val="none"/>
          <w:lang w:eastAsia="zh-CN"/>
        </w:rPr>
        <w:t>公开招商文件</w:t>
      </w:r>
      <w:r>
        <w:rPr>
          <w:rFonts w:ascii="宋体" w:hAnsi="宋体" w:cs="宋体" w:hint="eastAsia"/>
          <w:color w:val="auto"/>
          <w:szCs w:val="21"/>
          <w:highlight w:val="none"/>
        </w:rPr>
        <w:t>的条款和条件，递交完全符合</w:t>
      </w:r>
      <w:r>
        <w:rPr>
          <w:rFonts w:ascii="宋体" w:hAnsi="宋体" w:cs="宋体" w:hint="eastAsia"/>
          <w:color w:val="auto"/>
          <w:szCs w:val="21"/>
          <w:highlight w:val="none"/>
          <w:lang w:eastAsia="zh-CN"/>
        </w:rPr>
        <w:t>公开招商文件</w:t>
      </w:r>
      <w:r>
        <w:rPr>
          <w:rFonts w:ascii="宋体" w:hAnsi="宋体" w:cs="宋体" w:hint="eastAsia"/>
          <w:color w:val="auto"/>
          <w:szCs w:val="21"/>
          <w:highlight w:val="none"/>
        </w:rPr>
        <w:t>的关于成都双流国际机场T2航站楼招商</w:t>
      </w:r>
      <w:r>
        <w:rPr>
          <w:rFonts w:ascii="宋体" w:hAnsi="宋体" w:cs="宋体" w:hint="eastAsia"/>
          <w:color w:val="auto"/>
          <w:szCs w:val="21"/>
          <w:highlight w:val="none"/>
          <w:lang w:eastAsia="zh-CN"/>
        </w:rPr>
        <w:t>公开招商文件</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二、我们确认，我们已仔细阅读并研究了发布的</w:t>
      </w:r>
      <w:r>
        <w:rPr>
          <w:rFonts w:ascii="宋体" w:hAnsi="宋体" w:cs="宋体" w:hint="eastAsia"/>
          <w:color w:val="auto"/>
          <w:szCs w:val="21"/>
          <w:highlight w:val="none"/>
          <w:lang w:eastAsia="zh-CN"/>
        </w:rPr>
        <w:t>公开招商文件</w:t>
      </w:r>
      <w:r>
        <w:rPr>
          <w:rFonts w:ascii="宋体" w:hAnsi="宋体" w:cs="宋体" w:hint="eastAsia"/>
          <w:color w:val="auto"/>
          <w:szCs w:val="21"/>
          <w:highlight w:val="none"/>
        </w:rPr>
        <w:t>，以及于发出的补充通知书（若有），我们知道必须放弃对上述文件和资料的所有条款提出含糊不清的问题的权利。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三、我们确认，我们将自行承担因参加本项目的活动而发生的任何费用。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公开招商文件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公开招商文件</w:t>
      </w:r>
      <w:r>
        <w:rPr>
          <w:rFonts w:ascii="宋体" w:hAnsi="宋体" w:cs="宋体" w:hint="eastAsia"/>
          <w:color w:val="auto"/>
          <w:szCs w:val="21"/>
          <w:highlight w:val="none"/>
        </w:rPr>
        <w:t>截止日起的九十（90）天。根据《</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须知》，该限期可以延长，在任何延长期内，我们的</w:t>
      </w:r>
      <w:r>
        <w:rPr>
          <w:rFonts w:ascii="宋体" w:hAnsi="宋体" w:cs="宋体" w:hint="eastAsia"/>
          <w:color w:val="auto"/>
          <w:szCs w:val="21"/>
          <w:highlight w:val="none"/>
          <w:lang w:eastAsia="zh-CN"/>
        </w:rPr>
        <w:t>公开招商文件</w:t>
      </w:r>
      <w:r>
        <w:rPr>
          <w:rFonts w:ascii="宋体" w:hAnsi="宋体" w:cs="宋体"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公开招商文件</w:t>
      </w:r>
      <w:r>
        <w:rPr>
          <w:rFonts w:ascii="宋体" w:hAnsi="宋体" w:cs="宋体" w:hint="eastAsia"/>
          <w:color w:val="auto"/>
          <w:szCs w:val="21"/>
          <w:highlight w:val="none"/>
        </w:rPr>
        <w:t>制定的规则，并承诺按照这些规则履行我们的所有义务，包括：一旦</w:t>
      </w:r>
      <w:r>
        <w:rPr>
          <w:rFonts w:ascii="宋体" w:hAnsi="宋体" w:cs="宋体" w:hint="eastAsia"/>
          <w:color w:val="auto"/>
          <w:szCs w:val="21"/>
          <w:highlight w:val="none"/>
          <w:lang w:eastAsia="zh-CN"/>
        </w:rPr>
        <w:t>公开招商文件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公开招商文件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公开招商文件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rPr>
        <w:t>六、我们确认，贵方有权利根据</w:t>
      </w:r>
      <w:r>
        <w:rPr>
          <w:rFonts w:ascii="宋体" w:hAnsi="宋体" w:cs="宋体" w:hint="eastAsia"/>
          <w:color w:val="auto"/>
          <w:szCs w:val="21"/>
          <w:highlight w:val="none"/>
          <w:lang w:eastAsia="zh-CN"/>
        </w:rPr>
        <w:t>公开招商文件</w:t>
      </w:r>
      <w:r>
        <w:rPr>
          <w:rFonts w:ascii="宋体" w:hAnsi="宋体" w:cs="宋体" w:hint="eastAsia"/>
          <w:color w:val="auto"/>
          <w:szCs w:val="21"/>
          <w:highlight w:val="none"/>
        </w:rPr>
        <w:t>的有关规定，没收我方的保证金。</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七、根据《</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须知》，我们在此与本合作申请书一并提交的作为</w:t>
      </w:r>
      <w:r>
        <w:rPr>
          <w:rFonts w:ascii="宋体" w:hAnsi="宋体" w:cs="宋体" w:hint="eastAsia"/>
          <w:color w:val="auto"/>
          <w:szCs w:val="21"/>
          <w:highlight w:val="none"/>
          <w:lang w:eastAsia="zh-CN"/>
        </w:rPr>
        <w:t>公开招商文件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八、在签署成都双流国际机场《候机楼经营合同》及合同附件以前，本</w:t>
      </w:r>
      <w:r>
        <w:rPr>
          <w:rFonts w:ascii="宋体" w:hAnsi="宋体" w:cs="宋体" w:hint="eastAsia"/>
          <w:color w:val="auto"/>
          <w:szCs w:val="21"/>
          <w:highlight w:val="none"/>
          <w:lang w:eastAsia="zh-CN"/>
        </w:rPr>
        <w:t>公开招商文件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公开招商文件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公开招商文件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九、我们接受成都双流国际机场《候机楼经营合同》及合同附件中的条款和条件，并将严格履行。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十、我们在此保证，本</w:t>
      </w:r>
      <w:r>
        <w:rPr>
          <w:rFonts w:ascii="宋体" w:hAnsi="宋体" w:cs="宋体" w:hint="eastAsia"/>
          <w:color w:val="auto"/>
          <w:szCs w:val="21"/>
          <w:highlight w:val="none"/>
          <w:lang w:eastAsia="zh-CN"/>
        </w:rPr>
        <w:t>公开招商文件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十一、我们证实，本合作申请书是我方</w:t>
      </w:r>
      <w:r>
        <w:rPr>
          <w:rFonts w:ascii="宋体" w:hAnsi="宋体" w:cs="宋体" w:hint="eastAsia"/>
          <w:color w:val="auto"/>
          <w:szCs w:val="21"/>
          <w:highlight w:val="none"/>
          <w:lang w:eastAsia="zh-CN"/>
        </w:rPr>
        <w:t>公开招商文件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公开招商文件</w:t>
      </w:r>
      <w:r>
        <w:rPr>
          <w:rFonts w:ascii="宋体" w:hAnsi="宋体" w:cs="宋体" w:hint="eastAsia"/>
          <w:color w:val="auto"/>
          <w:szCs w:val="21"/>
          <w:highlight w:val="none"/>
        </w:rPr>
        <w:t>中的陈述、品牌授权书、财务报表等资料的完整性、准确性、真实性完全负责。与本有关的正式通讯地址：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法定代表人签字：</w:t>
      </w:r>
    </w:p>
    <w:p>
      <w:pPr>
        <w:spacing w:line="360" w:lineRule="auto"/>
        <w:rPr>
          <w:rFonts w:ascii="宋体" w:hAnsi="宋体" w:cs="宋体"/>
          <w:color w:val="auto"/>
          <w:szCs w:val="21"/>
          <w:highlight w:val="none"/>
        </w:rPr>
      </w:pPr>
      <w:r>
        <w:rPr>
          <w:rFonts w:ascii="宋体" w:hAnsi="宋体" w:cs="宋体" w:hint="eastAsia"/>
          <w:color w:val="auto"/>
          <w:szCs w:val="21"/>
          <w:highlight w:val="none"/>
        </w:rPr>
        <w:t>或</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授权代表签字：</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pStyle w:val="a"/>
        <w:rPr>
          <w:rFonts w:ascii="宋体" w:hAnsi="宋体" w:cs="宋体"/>
          <w:color w:val="auto"/>
          <w:sz w:val="21"/>
          <w:szCs w:val="21"/>
          <w:highlight w:val="none"/>
        </w:rPr>
      </w:pPr>
      <w:r>
        <w:rPr>
          <w:rFonts w:ascii="宋体" w:hAnsi="宋体" w:cs="宋体" w:hint="eastAsia"/>
          <w:color w:val="auto"/>
          <w:sz w:val="21"/>
          <w:szCs w:val="21"/>
          <w:highlight w:val="none"/>
        </w:rPr>
        <w:t>1.2 企业营业执照副本复印件</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0"/>
        <w:rPr>
          <w:rFonts w:ascii="宋体" w:hAnsi="宋体" w:cs="宋体"/>
          <w:color w:val="auto"/>
          <w:szCs w:val="21"/>
          <w:highlight w:val="none"/>
        </w:rPr>
      </w:pPr>
      <w:r>
        <w:rPr>
          <w:rFonts w:ascii="宋体" w:hAnsi="宋体" w:cs="宋体" w:hint="eastAsia"/>
          <w:bCs/>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公开招商文件</w:t>
      </w:r>
      <w:r>
        <w:rPr>
          <w:rFonts w:ascii="宋体" w:hAnsi="宋体" w:cs="宋体" w:hint="eastAsia"/>
          <w:color w:val="auto"/>
          <w:szCs w:val="21"/>
          <w:highlight w:val="none"/>
        </w:rPr>
        <w:t>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商家</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)为我公司授权代表，参与成都双流国际机场T2航站楼招商的工作，以</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的名义签署</w:t>
      </w:r>
      <w:r>
        <w:rPr>
          <w:rFonts w:ascii="宋体" w:hAnsi="宋体" w:cs="宋体" w:hint="eastAsia"/>
          <w:color w:val="auto"/>
          <w:szCs w:val="21"/>
          <w:highlight w:val="none"/>
          <w:lang w:eastAsia="zh-CN"/>
        </w:rPr>
        <w:t>公开招商文件</w:t>
      </w:r>
      <w:r>
        <w:rPr>
          <w:rFonts w:ascii="宋体" w:hAnsi="宋体" w:cs="宋体" w:hint="eastAsia"/>
          <w:color w:val="auto"/>
          <w:szCs w:val="21"/>
          <w:highlight w:val="none"/>
        </w:rPr>
        <w:t>、递交</w:t>
      </w:r>
      <w:r>
        <w:rPr>
          <w:rFonts w:ascii="宋体" w:hAnsi="宋体" w:cs="宋体" w:hint="eastAsia"/>
          <w:color w:val="auto"/>
          <w:szCs w:val="21"/>
          <w:highlight w:val="none"/>
          <w:lang w:eastAsia="zh-CN"/>
        </w:rPr>
        <w:t>公开招商文件</w:t>
      </w:r>
      <w:r>
        <w:rPr>
          <w:rFonts w:ascii="宋体" w:hAnsi="宋体" w:cs="宋体" w:hint="eastAsia"/>
          <w:color w:val="auto"/>
          <w:szCs w:val="21"/>
          <w:highlight w:val="none"/>
        </w:rPr>
        <w:t>、与人联系，并处理与有关的一切事务。授权期限自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 xml:space="preserve">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rPr>
          <w:rFonts w:ascii="宋体" w:hAnsi="宋体" w:cs="宋体"/>
          <w:color w:val="auto"/>
          <w:kern w:val="0"/>
          <w:szCs w:val="21"/>
          <w:highlight w:val="none"/>
        </w:rPr>
      </w:pPr>
      <w:r>
        <w:rPr>
          <w:rFonts w:ascii="宋体" w:hAnsi="宋体" w:cs="宋体" w:hint="eastAsia"/>
          <w:color w:val="auto"/>
          <w:szCs w:val="21"/>
          <w:highlight w:val="none"/>
        </w:rPr>
        <w:t>1.4 符合条件承诺书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符合条件承诺书</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我公司本着诚实守信的原则，保证如下：</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A.我公司银行资信证明中无不良记录；</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B.我公司未发生过重大群体性事件等影响社会稳定的敏感性事件；</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C.我公司在运营中未发生过安全事故（火灾、群体性食物中毒事故等）；</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D.我公司未发生过售卖的商品、食品质量问题等严重负面影响事件；</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E.我公司在全国机场未发生过空防安全责任事故；</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F.我公司在机场未因逃单行为、拖欠经营费用等违约行为而被终止过合同；</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G. 对于本次投报标段，我公司前期未因自身原因(排除F项)被终止过该标段合同。</w:t>
      </w:r>
    </w:p>
    <w:p>
      <w:pPr>
        <w:spacing w:line="360" w:lineRule="auto"/>
        <w:ind w:firstLine="315"/>
        <w:rPr>
          <w:rFonts w:ascii="宋体" w:hAnsi="宋体" w:cs="宋体" w:hint="eastAsia"/>
          <w:color w:val="auto"/>
          <w:szCs w:val="21"/>
          <w:highlight w:val="none"/>
        </w:rPr>
      </w:pPr>
      <w:r>
        <w:rPr>
          <w:rFonts w:ascii="宋体" w:hAnsi="宋体" w:cs="宋体" w:hint="eastAsia"/>
          <w:color w:val="auto"/>
          <w:szCs w:val="21"/>
          <w:highlight w:val="none"/>
        </w:rPr>
        <w:t>H.</w:t>
      </w:r>
      <w:r>
        <w:rPr>
          <w:rFonts w:ascii="宋体" w:hAnsi="宋体" w:cs="宋体" w:hint="eastAsia"/>
          <w:color w:val="auto"/>
          <w:szCs w:val="21"/>
          <w:highlight w:val="none"/>
          <w:lang w:eastAsia="zh-CN"/>
        </w:rPr>
        <w:t>我公司未在</w:t>
      </w:r>
      <w:r>
        <w:rPr>
          <w:rFonts w:ascii="宋体" w:hAnsi="宋体" w:cs="宋体" w:hint="eastAsia"/>
          <w:color w:val="auto"/>
          <w:szCs w:val="21"/>
          <w:highlight w:val="none"/>
        </w:rPr>
        <w:t>成都机场以往公开招商中经综合评审中选后，收到交纳签约保证金通知又放弃签约。</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（需盖鲜章）</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rPr>
          <w:rFonts w:ascii="宋体" w:hAnsi="宋体" w:cs="宋体"/>
          <w:color w:val="auto"/>
          <w:szCs w:val="21"/>
          <w:highlight w:val="none"/>
        </w:rPr>
      </w:pPr>
      <w:r>
        <w:rPr>
          <w:rFonts w:ascii="宋体" w:hAnsi="宋体" w:cs="宋体" w:hint="eastAsia"/>
          <w:color w:val="auto"/>
          <w:szCs w:val="21"/>
          <w:highlight w:val="none"/>
        </w:rPr>
        <w:t>1.5未被列为严重违法失信企业名单（黑名单）截图</w:t>
      </w: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我公司有意参加成都双流国际机场T2航站楼招商（以下简称“本项目”），现委托授权代表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w:t>
      </w:r>
      <w:r>
        <w:rPr>
          <w:rFonts w:ascii="宋体" w:hAnsi="宋体" w:cs="宋体" w:hint="eastAsia"/>
          <w:color w:val="auto"/>
          <w:szCs w:val="21"/>
          <w:highlight w:val="none"/>
          <w:lang w:eastAsia="zh-CN"/>
        </w:rPr>
        <w:t>公开招商文件</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我公司在此郑重承诺：无论是否参与，我司均对获取的本项目相关信息和资料负有保密义务（贵司已在媒体公开的信息和资料除外），不向新闻媒体或任何机构、个人泄露本项目的任何信息或资料，并承担由于违反保密义务而产生的法律责任，包括但不限于赔偿人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（需盖鲜章）</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spacing w:line="360" w:lineRule="auto"/>
        <w:outlineLvl w:val="1"/>
        <w:rPr>
          <w:rFonts w:ascii="宋体" w:hAnsi="宋体" w:cs="宋体"/>
          <w:b/>
          <w:bCs/>
          <w:color w:val="auto"/>
          <w:szCs w:val="21"/>
          <w:highlight w:val="none"/>
        </w:rPr>
      </w:pPr>
      <w:bookmarkStart w:id="3" w:name="_Toc16707"/>
      <w:r>
        <w:rPr>
          <w:rFonts w:ascii="宋体" w:hAnsi="宋体" w:cs="宋体" w:hint="eastAsia"/>
          <w:b/>
          <w:bCs/>
          <w:color w:val="auto"/>
          <w:szCs w:val="21"/>
          <w:highlight w:val="none"/>
        </w:rPr>
        <w:t>2.综合实力</w:t>
      </w:r>
      <w:bookmarkEnd w:id="3"/>
    </w:p>
    <w:p>
      <w:pPr>
        <w:spacing w:line="360" w:lineRule="auto"/>
        <w:ind w:firstLine="420"/>
        <w:rPr>
          <w:rFonts w:ascii="宋体" w:hAnsi="宋体" w:eastAsiaTheme="minorEastAsia" w:cs="宋体"/>
          <w:color w:val="auto"/>
          <w:szCs w:val="21"/>
          <w:highlight w:val="none"/>
        </w:rPr>
      </w:pPr>
      <w:r>
        <w:rPr>
          <w:rFonts w:ascii="宋体" w:hAnsi="宋体" w:cs="宋体" w:hint="eastAsia"/>
          <w:color w:val="auto"/>
          <w:szCs w:val="21"/>
          <w:highlight w:val="none"/>
        </w:rPr>
        <w:t>2.1</w:t>
      </w:r>
      <w:r>
        <w:rPr>
          <w:rFonts w:asciiTheme="minorEastAsia" w:eastAsiaTheme="minorEastAsia" w:hAnsiTheme="minorEastAsia" w:cs="宋体" w:hint="eastAsia"/>
          <w:color w:val="auto"/>
          <w:szCs w:val="21"/>
          <w:highlight w:val="none"/>
        </w:rPr>
        <w:t>提供经审计的2019-2022年中任意连续三年的财务报表原件或复印件；</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2.2 202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或202</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年度纳税信用等级证明。</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rPr>
          <w:rFonts w:ascii="宋体" w:hAnsi="宋体" w:cs="宋体"/>
          <w:b/>
          <w:bCs/>
          <w:color w:val="auto"/>
          <w:szCs w:val="21"/>
          <w:highlight w:val="none"/>
        </w:rPr>
      </w:pPr>
      <w:bookmarkStart w:id="4" w:name="_Toc41558660"/>
      <w:bookmarkStart w:id="5" w:name="_Toc12575"/>
      <w:r>
        <w:rPr>
          <w:rFonts w:ascii="宋体" w:hAnsi="宋体" w:cs="宋体" w:hint="eastAsia"/>
          <w:b/>
          <w:bCs/>
          <w:color w:val="auto"/>
          <w:szCs w:val="21"/>
          <w:highlight w:val="none"/>
        </w:rPr>
        <w:br w:type="page"/>
      </w:r>
      <w:bookmarkEnd w:id="4"/>
      <w:bookmarkEnd w:id="5"/>
    </w:p>
    <w:p>
      <w:pPr>
        <w:spacing w:line="360" w:lineRule="auto"/>
        <w:outlineLvl w:val="1"/>
        <w:rPr>
          <w:rFonts w:ascii="宋体" w:hAnsi="宋体" w:cs="宋体"/>
          <w:b/>
          <w:bCs/>
          <w:color w:val="auto"/>
          <w:szCs w:val="21"/>
          <w:highlight w:val="none"/>
        </w:rPr>
      </w:pPr>
      <w:bookmarkStart w:id="6" w:name="_Toc27893"/>
      <w:r>
        <w:rPr>
          <w:rFonts w:ascii="宋体" w:hAnsi="宋体" w:cs="宋体" w:hint="eastAsia"/>
          <w:b/>
          <w:bCs/>
          <w:color w:val="auto"/>
          <w:szCs w:val="21"/>
          <w:highlight w:val="none"/>
        </w:rPr>
        <w:t>3.经营能力</w:t>
      </w:r>
      <w:bookmarkEnd w:id="6"/>
    </w:p>
    <w:p>
      <w:pPr>
        <w:widowControl/>
        <w:spacing w:line="360" w:lineRule="auto"/>
        <w:ind w:firstLine="420"/>
        <w:jc w:val="left"/>
        <w:rPr>
          <w:rFonts w:ascii="宋体" w:hAnsi="宋体" w:cs="宋体"/>
          <w:color w:val="auto"/>
          <w:kern w:val="0"/>
          <w:szCs w:val="21"/>
          <w:highlight w:val="none"/>
        </w:rPr>
      </w:pPr>
      <w:r>
        <w:rPr>
          <w:rFonts w:ascii="宋体" w:hAnsi="宋体" w:cs="宋体" w:hint="eastAsia"/>
          <w:color w:val="auto"/>
          <w:kern w:val="0"/>
          <w:szCs w:val="21"/>
          <w:highlight w:val="none"/>
        </w:rPr>
        <w:t>3.1</w:t>
      </w: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rPr>
        <w:t>提供其本身及分子公司在中国年旅客吞吐量</w:t>
      </w:r>
      <w:r>
        <w:rPr>
          <w:rFonts w:ascii="宋体" w:hAnsi="宋体" w:cs="宋体" w:hint="eastAsia"/>
          <w:color w:val="auto"/>
          <w:kern w:val="0"/>
          <w:szCs w:val="21"/>
          <w:highlight w:val="none"/>
          <w:lang w:eastAsia="zh-CN"/>
        </w:rPr>
        <w:t>2021-2023</w:t>
      </w:r>
      <w:r>
        <w:rPr>
          <w:rFonts w:ascii="宋体" w:hAnsi="宋体" w:cs="宋体" w:hint="eastAsia"/>
          <w:color w:val="auto"/>
          <w:kern w:val="0"/>
          <w:szCs w:val="21"/>
          <w:highlight w:val="none"/>
        </w:rPr>
        <w:t>年期间任意一年1500万人次机场、成都天府国际机场及港澳台机场的布局情况。</w:t>
      </w:r>
    </w:p>
    <w:p>
      <w:pPr>
        <w:widowControl/>
        <w:spacing w:line="360" w:lineRule="auto"/>
        <w:ind w:firstLine="420"/>
        <w:jc w:val="left"/>
        <w:rPr>
          <w:rFonts w:asciiTheme="minorEastAsia" w:eastAsiaTheme="minorEastAsia" w:hAnsiTheme="minorEastAsia" w:cs="宋体"/>
          <w:color w:val="auto"/>
          <w:szCs w:val="21"/>
          <w:highlight w:val="none"/>
        </w:rPr>
      </w:pPr>
      <w:r>
        <w:rPr>
          <w:rFonts w:ascii="宋体" w:hAnsi="宋体" w:cs="宋体" w:hint="eastAsia"/>
          <w:color w:val="auto"/>
          <w:kern w:val="0"/>
          <w:szCs w:val="21"/>
          <w:highlight w:val="none"/>
          <w:lang w:eastAsia="zh-CN"/>
        </w:rPr>
        <w:t>2021-2023</w:t>
      </w:r>
      <w:r>
        <w:rPr>
          <w:rFonts w:ascii="宋体" w:hAnsi="宋体" w:cs="宋体" w:hint="eastAsia"/>
          <w:color w:val="auto"/>
          <w:kern w:val="0"/>
          <w:szCs w:val="21"/>
          <w:highlight w:val="none"/>
        </w:rPr>
        <w:t>年期间任意一年1500万人次及以上机场有：北京首都、北京大兴、上海浦东、广州、成都双流、深圳、昆明、西安、上海虹桥、重庆、杭州、南京、郑州、厦门、武汉、长沙、青岛、海口、乌鲁木齐、天津、贵阳、三亚</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yellow"/>
          <w:lang w:val="en-US" w:eastAsia="zh-CN"/>
        </w:rPr>
        <w:t>长春、大连、沈阳、济南、哈尔滨</w:t>
      </w:r>
      <w:r>
        <w:rPr>
          <w:rFonts w:ascii="宋体" w:hAnsi="宋体" w:cs="宋体" w:hint="eastAsia"/>
          <w:color w:val="auto"/>
          <w:kern w:val="0"/>
          <w:szCs w:val="21"/>
          <w:highlight w:val="none"/>
        </w:rPr>
        <w:t>。</w:t>
      </w:r>
    </w:p>
    <w:p>
      <w:pPr>
        <w:spacing w:line="360" w:lineRule="auto"/>
        <w:ind w:left="435" w:firstLine="420"/>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3.1.1布局列表</w:t>
      </w:r>
    </w:p>
    <w:tbl>
      <w:tblPr>
        <w:tblStyle w:val="TableNormal"/>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5"/>
        <w:gridCol w:w="1588"/>
        <w:gridCol w:w="2025"/>
        <w:gridCol w:w="3123"/>
      </w:tblGrid>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14"/>
        </w:trPr>
        <w:tc>
          <w:tcPr>
            <w:tcW w:w="945"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序号</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3123" w:type="dxa"/>
            <w:vAlign w:val="center"/>
          </w:tcPr>
          <w:p>
            <w:pPr>
              <w:spacing w:line="360" w:lineRule="auto"/>
              <w:ind w:right="584"/>
              <w:jc w:val="center"/>
              <w:rPr>
                <w:rFonts w:ascii="宋体" w:hAnsi="宋体" w:cs="宋体"/>
                <w:color w:val="auto"/>
                <w:szCs w:val="21"/>
                <w:highlight w:val="none"/>
              </w:rPr>
            </w:pPr>
            <w:r>
              <w:rPr>
                <w:rFonts w:ascii="宋体" w:hAnsi="宋体" w:cs="宋体" w:hint="eastAsia"/>
                <w:color w:val="auto"/>
                <w:szCs w:val="21"/>
                <w:highlight w:val="none"/>
              </w:rPr>
              <w:t>面积(平方米)</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85"/>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0"/>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3123"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5"/>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88"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5"/>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5"/>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r>
    </w:tbl>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若没有机场从业经验，可不提供此方面材料。</w:t>
      </w:r>
    </w:p>
    <w:p>
      <w:pPr>
        <w:pStyle w:val="a"/>
        <w:spacing w:line="360" w:lineRule="auto"/>
        <w:rPr>
          <w:rFonts w:ascii="宋体" w:hAnsi="宋体" w:cs="宋体"/>
          <w:color w:val="auto"/>
          <w:sz w:val="21"/>
          <w:szCs w:val="21"/>
          <w:highlight w:val="none"/>
        </w:rPr>
      </w:pPr>
    </w:p>
    <w:p>
      <w:pPr>
        <w:ind w:firstLine="840"/>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3.1.2布局证明文件，包括但不限于合同复印件或业主方证明。</w:t>
      </w:r>
      <w:r>
        <w:rPr>
          <w:rFonts w:ascii="宋体" w:hAnsi="宋体" w:cs="宋体" w:hint="eastAsia"/>
          <w:color w:val="auto"/>
          <w:szCs w:val="21"/>
          <w:highlight w:val="none"/>
        </w:rPr>
        <w:br w:type="page"/>
      </w:r>
    </w:p>
    <w:p>
      <w:pPr>
        <w:spacing w:line="360" w:lineRule="auto"/>
        <w:rPr>
          <w:color w:val="auto"/>
          <w:highlight w:val="none"/>
        </w:rPr>
      </w:pPr>
      <w:r>
        <w:rPr>
          <w:rFonts w:ascii="宋体" w:hAnsi="宋体" w:cs="宋体" w:hint="eastAsia"/>
          <w:color w:val="auto"/>
          <w:szCs w:val="21"/>
          <w:highlight w:val="none"/>
        </w:rPr>
        <w:t>3.2</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及其分子公司在国内省会城市及直辖市市区、深圳市区、港澳台的开店经验</w:t>
      </w:r>
    </w:p>
    <w:p>
      <w:pPr>
        <w:spacing w:line="360" w:lineRule="auto"/>
        <w:ind w:firstLine="420"/>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3.2.1布局列表</w:t>
      </w:r>
      <w:r>
        <w:rPr>
          <w:rFonts w:ascii="宋体" w:hAnsi="宋体" w:cs="宋体" w:hint="eastAsia"/>
          <w:color w:val="auto"/>
          <w:szCs w:val="21"/>
          <w:highlight w:val="none"/>
        </w:rPr>
        <w:t xml:space="preserve">：  </w:t>
      </w:r>
    </w:p>
    <w:tbl>
      <w:tblPr>
        <w:tblStyle w:val="TableNormal"/>
        <w:tblpPr w:leftFromText="180" w:rightFromText="180" w:vertAnchor="text" w:horzAnchor="page" w:tblpX="2431" w:tblpY="306"/>
        <w:tblOverlap w:val="never"/>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5"/>
        <w:gridCol w:w="1588"/>
        <w:gridCol w:w="2025"/>
        <w:gridCol w:w="3123"/>
      </w:tblGrid>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ind w:left="435"/>
              <w:jc w:val="center"/>
              <w:rPr>
                <w:rFonts w:ascii="宋体" w:hAnsi="宋体" w:cs="宋体"/>
                <w:color w:val="auto"/>
                <w:szCs w:val="21"/>
                <w:highlight w:val="none"/>
              </w:rPr>
            </w:pPr>
          </w:p>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序号</w:t>
            </w:r>
          </w:p>
        </w:tc>
        <w:tc>
          <w:tcPr>
            <w:tcW w:w="1588" w:type="dxa"/>
            <w:vAlign w:val="center"/>
          </w:tcPr>
          <w:p>
            <w:pPr>
              <w:widowControl/>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经营店面</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位置</w:t>
            </w:r>
          </w:p>
        </w:tc>
        <w:tc>
          <w:tcPr>
            <w:tcW w:w="2025" w:type="dxa"/>
            <w:vAlign w:val="center"/>
          </w:tcPr>
          <w:p>
            <w:pPr>
              <w:widowControl/>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商圈街道或商业体名称</w:t>
            </w:r>
          </w:p>
        </w:tc>
        <w:tc>
          <w:tcPr>
            <w:tcW w:w="3123" w:type="dxa"/>
            <w:vAlign w:val="center"/>
          </w:tcPr>
          <w:p>
            <w:pPr>
              <w:widowControl/>
              <w:spacing w:line="360" w:lineRule="auto"/>
              <w:jc w:val="center"/>
              <w:rPr>
                <w:rFonts w:ascii="宋体" w:hAnsi="宋体" w:cs="宋体"/>
                <w:color w:val="auto"/>
                <w:szCs w:val="21"/>
                <w:highlight w:val="none"/>
              </w:rPr>
            </w:pPr>
          </w:p>
          <w:p>
            <w:pPr>
              <w:spacing w:line="360" w:lineRule="auto"/>
              <w:ind w:right="584"/>
              <w:jc w:val="center"/>
              <w:rPr>
                <w:rFonts w:ascii="宋体" w:hAnsi="宋体" w:cs="宋体"/>
                <w:color w:val="auto"/>
                <w:szCs w:val="21"/>
                <w:highlight w:val="none"/>
              </w:rPr>
            </w:pPr>
            <w:r>
              <w:rPr>
                <w:rFonts w:ascii="宋体" w:hAnsi="宋体" w:cs="宋体" w:hint="eastAsia"/>
                <w:color w:val="auto"/>
                <w:szCs w:val="21"/>
                <w:highlight w:val="none"/>
              </w:rPr>
              <w:t>面积</w:t>
            </w:r>
          </w:p>
          <w:p>
            <w:pPr>
              <w:spacing w:line="360" w:lineRule="auto"/>
              <w:ind w:right="584"/>
              <w:jc w:val="center"/>
              <w:rPr>
                <w:rFonts w:ascii="宋体" w:hAnsi="宋体" w:cs="宋体"/>
                <w:color w:val="auto"/>
                <w:szCs w:val="21"/>
                <w:highlight w:val="none"/>
              </w:rPr>
            </w:pPr>
            <w:r>
              <w:rPr>
                <w:rFonts w:ascii="宋体" w:hAnsi="宋体" w:cs="宋体" w:hint="eastAsia"/>
                <w:color w:val="auto"/>
                <w:szCs w:val="21"/>
                <w:highlight w:val="none"/>
              </w:rPr>
              <w:t>(平方米)</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成都宽窄巷子</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成都锦里</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88"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2025"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3123"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88"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2025"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3123"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r>
    </w:tbl>
    <w:p>
      <w:pPr>
        <w:spacing w:line="360" w:lineRule="auto"/>
        <w:ind w:firstLine="420"/>
        <w:rPr>
          <w:color w:val="auto"/>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若没有市区从业经验，可不提供此方面材料。</w:t>
      </w:r>
    </w:p>
    <w:p>
      <w:pPr>
        <w:pStyle w:val="a"/>
        <w:rPr>
          <w:color w:val="auto"/>
          <w:highlight w:val="none"/>
        </w:rPr>
      </w:pPr>
    </w:p>
    <w:p>
      <w:pPr>
        <w:ind w:firstLine="420"/>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3.2.2布局证明文件，包括但不限于合同复印件或业主方证明。</w:t>
      </w: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3.3</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经营模式</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直营或者授权（加盟）经营的承诺书。</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 xml:space="preserve">        经营模式承诺书格式：</w:t>
      </w:r>
    </w:p>
    <w:p>
      <w:pPr>
        <w:pStyle w:val="a"/>
        <w:spacing w:line="360" w:lineRule="auto"/>
        <w:rPr>
          <w:rFonts w:ascii="宋体" w:hAnsi="宋体" w:cs="宋体"/>
          <w:color w:val="auto"/>
          <w:sz w:val="21"/>
          <w:szCs w:val="21"/>
          <w:highlight w:val="none"/>
        </w:rPr>
      </w:pP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经营模式承诺书</w:t>
      </w:r>
    </w:p>
    <w:p>
      <w:pPr>
        <w:spacing w:line="360" w:lineRule="auto"/>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我公司租赁航站楼商业场地（标段号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 面积</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平方米）用于商业经营，现向贵司郑重承诺：品牌直营</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加盟或代理经营</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。因品牌、服务质量等问题引发的法律责任由我公司完全承担。</w:t>
      </w:r>
    </w:p>
    <w:p>
      <w:pPr>
        <w:spacing w:line="360" w:lineRule="auto"/>
        <w:ind w:firstLine="420"/>
        <w:rPr>
          <w:rFonts w:ascii="宋体" w:hAnsi="宋体" w:cs="宋体"/>
          <w:color w:val="auto"/>
          <w:szCs w:val="21"/>
          <w:highlight w:val="none"/>
        </w:rPr>
      </w:pP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rPr>
        <w:t>需盖鲜章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spacing w:line="360" w:lineRule="auto"/>
        <w:ind w:firstLine="1050"/>
        <w:rPr>
          <w:rFonts w:ascii="宋体" w:hAnsi="宋体" w:cs="宋体"/>
          <w:color w:val="auto"/>
          <w:sz w:val="21"/>
          <w:szCs w:val="21"/>
          <w:highlight w:val="none"/>
        </w:rPr>
      </w:pPr>
    </w:p>
    <w:p>
      <w:pPr>
        <w:widowControl/>
        <w:jc w:val="left"/>
        <w:rPr>
          <w:rFonts w:ascii="宋体" w:hAnsi="宋体" w:cs="宋体"/>
          <w:color w:val="auto"/>
          <w:kern w:val="0"/>
          <w:szCs w:val="21"/>
          <w:highlight w:val="none"/>
        </w:rPr>
      </w:pPr>
      <w:r>
        <w:rPr>
          <w:rFonts w:ascii="宋体" w:hAnsi="宋体" w:cs="宋体"/>
          <w:color w:val="auto"/>
          <w:szCs w:val="21"/>
          <w:highlight w:val="none"/>
        </w:rPr>
        <w:br w:type="page"/>
      </w:r>
    </w:p>
    <w:p>
      <w:pPr>
        <w:spacing w:line="360" w:lineRule="auto"/>
        <w:rPr>
          <w:rFonts w:ascii="宋体" w:hAnsi="宋体" w:cs="宋体"/>
          <w:color w:val="auto"/>
          <w:szCs w:val="21"/>
          <w:highlight w:val="none"/>
        </w:rPr>
      </w:pPr>
      <w:r>
        <w:rPr>
          <w:rFonts w:ascii="宋体" w:hAnsi="宋体" w:cs="宋体" w:hint="eastAsia"/>
          <w:color w:val="auto"/>
          <w:szCs w:val="21"/>
          <w:highlight w:val="none"/>
        </w:rPr>
        <w:t>3.4经营表现</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lang w:eastAsia="zh-CN"/>
        </w:rPr>
        <w:t>商家2021-2023</w:t>
      </w:r>
      <w:r>
        <w:rPr>
          <w:rFonts w:ascii="宋体" w:hAnsi="宋体" w:cs="宋体" w:hint="eastAsia"/>
          <w:color w:val="auto"/>
          <w:szCs w:val="21"/>
          <w:highlight w:val="none"/>
        </w:rPr>
        <w:t>年在国内机场业主方的获奖情况：提供获奖证书（公司级）等证明材料。</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color w:val="auto"/>
          <w:highlight w:val="none"/>
        </w:rPr>
      </w:pPr>
      <w:r>
        <w:rPr>
          <w:color w:val="auto"/>
          <w:highlight w:val="none"/>
        </w:rPr>
        <w:br w:type="page"/>
      </w:r>
    </w:p>
    <w:p>
      <w:pPr>
        <w:spacing w:line="360" w:lineRule="auto"/>
        <w:outlineLvl w:val="1"/>
        <w:rPr>
          <w:rFonts w:ascii="宋体" w:hAnsi="宋体" w:cs="宋体"/>
          <w:b/>
          <w:bCs/>
          <w:color w:val="auto"/>
          <w:szCs w:val="21"/>
          <w:highlight w:val="none"/>
        </w:rPr>
      </w:pPr>
      <w:bookmarkStart w:id="7" w:name="_Toc7740"/>
      <w:bookmarkStart w:id="8" w:name="_Toc9087"/>
      <w:bookmarkStart w:id="9" w:name="_Hlk41556141"/>
      <w:bookmarkStart w:id="10" w:name="_Toc41558662"/>
      <w:r>
        <w:rPr>
          <w:rFonts w:ascii="宋体" w:hAnsi="宋体" w:cs="宋体"/>
          <w:b/>
          <w:bCs/>
          <w:color w:val="auto"/>
          <w:szCs w:val="21"/>
          <w:highlight w:val="none"/>
        </w:rPr>
        <w:t>4</w:t>
      </w:r>
      <w:r>
        <w:rPr>
          <w:rFonts w:ascii="宋体" w:hAnsi="宋体" w:cs="宋体" w:hint="eastAsia"/>
          <w:b/>
          <w:bCs/>
          <w:color w:val="auto"/>
          <w:szCs w:val="21"/>
          <w:highlight w:val="none"/>
        </w:rPr>
        <w:t>.经营方案</w:t>
      </w:r>
      <w:bookmarkEnd w:id="7"/>
    </w:p>
    <w:p>
      <w:pPr>
        <w:spacing w:line="360" w:lineRule="auto"/>
        <w:rPr>
          <w:rFonts w:ascii="宋体" w:hAnsi="宋体" w:cs="宋体"/>
          <w:color w:val="auto"/>
          <w:szCs w:val="21"/>
          <w:highlight w:val="none"/>
        </w:rPr>
      </w:pPr>
      <w:bookmarkStart w:id="11" w:name="_Toc27037"/>
      <w:bookmarkStart w:id="12" w:name="_Toc4063"/>
      <w:r>
        <w:rPr>
          <w:rFonts w:ascii="宋体" w:hAnsi="宋体" w:cs="宋体" w:hint="eastAsia"/>
          <w:color w:val="auto"/>
          <w:szCs w:val="21"/>
          <w:highlight w:val="none"/>
        </w:rPr>
        <w:t>4</w:t>
      </w:r>
      <w:r>
        <w:rPr>
          <w:rFonts w:ascii="宋体" w:hAnsi="宋体" w:cs="宋体"/>
          <w:color w:val="auto"/>
          <w:szCs w:val="21"/>
          <w:highlight w:val="none"/>
        </w:rPr>
        <w:t>.1</w:t>
      </w:r>
      <w:r>
        <w:rPr>
          <w:rFonts w:ascii="宋体" w:hAnsi="宋体" w:cs="宋体" w:hint="eastAsia"/>
          <w:color w:val="auto"/>
          <w:szCs w:val="21"/>
          <w:highlight w:val="none"/>
        </w:rPr>
        <w:t>装修方案、效果图</w:t>
      </w:r>
      <w:bookmarkEnd w:id="11"/>
      <w:bookmarkEnd w:id="12"/>
      <w:r>
        <w:rPr>
          <w:rFonts w:ascii="宋体" w:hAnsi="宋体" w:cs="宋体" w:hint="eastAsia"/>
          <w:color w:val="auto"/>
          <w:szCs w:val="21"/>
          <w:highlight w:val="none"/>
        </w:rPr>
        <w:t>：</w:t>
      </w:r>
    </w:p>
    <w:p>
      <w:pPr>
        <w:pStyle w:val="a"/>
        <w:spacing w:line="360" w:lineRule="auto"/>
        <w:ind w:firstLine="420"/>
        <w:rPr>
          <w:rFonts w:ascii="宋体" w:hAnsi="宋体" w:cs="宋体"/>
          <w:color w:val="auto"/>
          <w:sz w:val="21"/>
          <w:szCs w:val="21"/>
          <w:highlight w:val="none"/>
        </w:rPr>
      </w:pPr>
      <w:r>
        <w:rPr>
          <w:rFonts w:ascii="宋体" w:hAnsi="宋体" w:cs="宋体" w:hint="eastAsia"/>
          <w:color w:val="auto"/>
          <w:sz w:val="21"/>
          <w:szCs w:val="21"/>
          <w:highlight w:val="none"/>
        </w:rPr>
        <w:t>品牌统一的装修风格效果图；或者针对标段的装修方案及效果图。</w:t>
      </w: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r>
        <w:rPr>
          <w:rFonts w:ascii="宋体" w:hAnsi="宋体" w:cs="宋体"/>
          <w:color w:val="auto"/>
          <w:sz w:val="21"/>
          <w:szCs w:val="21"/>
          <w:highlight w:val="none"/>
        </w:rPr>
        <w:t>4.2</w:t>
      </w:r>
      <w:r>
        <w:rPr>
          <w:rFonts w:ascii="宋体" w:hAnsi="宋体" w:cs="宋体" w:hint="eastAsia"/>
          <w:color w:val="auto"/>
          <w:sz w:val="21"/>
          <w:szCs w:val="21"/>
          <w:highlight w:val="none"/>
        </w:rPr>
        <w:t>本项目特色服务</w:t>
      </w:r>
    </w:p>
    <w:p>
      <w:pPr>
        <w:spacing w:line="360" w:lineRule="auto"/>
        <w:jc w:val="left"/>
        <w:rPr>
          <w:rFonts w:ascii="宋体" w:hAnsi="宋体" w:cs="宋体"/>
          <w:color w:val="auto"/>
          <w:szCs w:val="21"/>
          <w:highlight w:val="none"/>
        </w:rPr>
      </w:pPr>
      <w:r>
        <w:rPr>
          <w:rFonts w:ascii="宋体" w:hAnsi="宋体" w:cs="宋体" w:hint="eastAsia"/>
          <w:color w:val="auto"/>
          <w:szCs w:val="21"/>
          <w:highlight w:val="none"/>
        </w:rPr>
        <w:t>向旅客提供特色服务承诺书，并加盖单位公章。</w:t>
      </w: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3</w:t>
      </w:r>
      <w:r>
        <w:rPr>
          <w:rFonts w:ascii="宋体" w:hAnsi="宋体" w:cs="宋体" w:hint="eastAsia"/>
          <w:color w:val="auto"/>
          <w:sz w:val="21"/>
          <w:szCs w:val="21"/>
          <w:highlight w:val="none"/>
        </w:rPr>
        <w:t>管理制度</w:t>
      </w:r>
    </w:p>
    <w:p>
      <w:pPr>
        <w:pStyle w:val="a"/>
        <w:spacing w:line="360" w:lineRule="auto"/>
        <w:ind w:firstLine="1050"/>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3</w:t>
      </w:r>
      <w:r>
        <w:rPr>
          <w:rFonts w:ascii="宋体" w:hAnsi="宋体" w:cs="宋体" w:hint="eastAsia"/>
          <w:color w:val="auto"/>
          <w:sz w:val="21"/>
          <w:szCs w:val="21"/>
          <w:highlight w:val="none"/>
        </w:rPr>
        <w:t>.1日常管理制度；</w:t>
      </w:r>
    </w:p>
    <w:p>
      <w:pPr>
        <w:pStyle w:val="a"/>
        <w:spacing w:line="360" w:lineRule="auto"/>
        <w:ind w:firstLine="1050"/>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3</w:t>
      </w:r>
      <w:r>
        <w:rPr>
          <w:rFonts w:ascii="宋体" w:hAnsi="宋体" w:cs="宋体" w:hint="eastAsia"/>
          <w:color w:val="auto"/>
          <w:sz w:val="21"/>
          <w:szCs w:val="21"/>
          <w:highlight w:val="none"/>
        </w:rPr>
        <w:t>.2应急制度（含投诉处理制度）；</w:t>
      </w:r>
    </w:p>
    <w:p>
      <w:pPr>
        <w:pStyle w:val="a"/>
        <w:spacing w:line="360" w:lineRule="auto"/>
        <w:ind w:firstLine="1050"/>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3</w:t>
      </w:r>
      <w:r>
        <w:rPr>
          <w:rFonts w:ascii="宋体" w:hAnsi="宋体" w:cs="宋体" w:hint="eastAsia"/>
          <w:color w:val="auto"/>
          <w:sz w:val="21"/>
          <w:szCs w:val="21"/>
          <w:highlight w:val="none"/>
        </w:rPr>
        <w:t>.3库存管理制度。</w:t>
      </w:r>
    </w:p>
    <w:p>
      <w:pPr>
        <w:pStyle w:val="a"/>
        <w:spacing w:line="360" w:lineRule="auto"/>
        <w:ind w:firstLine="1050"/>
        <w:rPr>
          <w:rFonts w:ascii="宋体" w:hAnsi="宋体" w:cs="宋体"/>
          <w:color w:val="auto"/>
          <w:sz w:val="21"/>
          <w:szCs w:val="21"/>
          <w:highlight w:val="none"/>
        </w:rPr>
      </w:pPr>
      <w:r>
        <w:rPr>
          <w:rFonts w:ascii="宋体" w:hAnsi="宋体" w:cs="宋体" w:hint="eastAsia"/>
          <w:color w:val="auto"/>
          <w:sz w:val="21"/>
          <w:szCs w:val="21"/>
          <w:highlight w:val="none"/>
          <w:lang w:eastAsia="zh-CN"/>
        </w:rPr>
        <w:t>商家</w:t>
      </w:r>
      <w:r>
        <w:rPr>
          <w:rFonts w:ascii="宋体" w:hAnsi="宋体" w:cs="宋体" w:hint="eastAsia"/>
          <w:color w:val="auto"/>
          <w:sz w:val="21"/>
          <w:szCs w:val="21"/>
          <w:highlight w:val="none"/>
        </w:rPr>
        <w:t>须提供包含但不限于以上的管理制度。</w:t>
      </w: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default"/>
          <w:color w:val="auto"/>
          <w:szCs w:val="21"/>
          <w:highlight w:val="none"/>
        </w:rPr>
        <w:t>4.4</w:t>
      </w:r>
      <w:r>
        <w:rPr>
          <w:rFonts w:ascii="宋体" w:hAnsi="宋体" w:cs="宋体" w:hint="eastAsia"/>
          <w:color w:val="auto"/>
          <w:szCs w:val="21"/>
          <w:highlight w:val="none"/>
        </w:rPr>
        <w:t>品牌介绍：</w:t>
      </w:r>
      <w:r>
        <w:rPr>
          <w:rFonts w:asciiTheme="minorEastAsia" w:eastAsiaTheme="minorEastAsia" w:hAnsiTheme="minorEastAsia" w:cs="宋体" w:hint="eastAsia"/>
          <w:color w:val="auto"/>
          <w:szCs w:val="21"/>
          <w:highlight w:val="none"/>
        </w:rPr>
        <w:t>品牌的介绍资料，时须提供品牌定位证明资料，包括但不限于入驻当地机场或购物中心、热门商业街区及名称，产品价格，品牌介绍，大众点评</w:t>
      </w:r>
      <w:r>
        <w:rPr>
          <w:rFonts w:asciiTheme="minorEastAsia" w:eastAsiaTheme="minorEastAsia" w:hAnsiTheme="minorEastAsia" w:cs="宋体" w:hint="eastAsia"/>
          <w:color w:val="auto"/>
          <w:szCs w:val="21"/>
          <w:highlight w:val="none"/>
          <w:lang/>
        </w:rPr>
        <w:t>得分</w:t>
      </w:r>
      <w:r>
        <w:rPr>
          <w:rFonts w:asciiTheme="minorEastAsia" w:eastAsiaTheme="minorEastAsia" w:hAnsiTheme="minorEastAsia" w:cs="宋体" w:hint="eastAsia"/>
          <w:color w:val="auto"/>
          <w:szCs w:val="21"/>
          <w:highlight w:val="none"/>
        </w:rPr>
        <w:t>截图等。</w:t>
      </w:r>
      <w:r>
        <w:rPr>
          <w:rFonts w:asciiTheme="minorEastAsia" w:eastAsiaTheme="minorEastAsia" w:hAnsiTheme="minorEastAsia" w:cs="宋体" w:hint="eastAsia"/>
          <w:color w:val="auto"/>
          <w:szCs w:val="21"/>
          <w:highlight w:val="none"/>
          <w:lang/>
        </w:rPr>
        <w:t>加盖单位公章。</w:t>
      </w:r>
    </w:p>
    <w:p>
      <w:pPr>
        <w:pStyle w:val="2"/>
        <w:numPr>
          <w:ilvl w:val="0"/>
          <w:numId w:val="3"/>
        </w:numPr>
        <w:rPr>
          <w:rFonts w:ascii="宋体" w:hAnsi="宋体" w:cs="宋体"/>
          <w:color w:val="auto"/>
          <w:szCs w:val="21"/>
          <w:highlight w:val="none"/>
        </w:rPr>
      </w:pPr>
      <w:r>
        <w:rPr>
          <w:rFonts w:ascii="宋体" w:hAnsi="宋体" w:cs="宋体" w:hint="eastAsia"/>
          <w:color w:val="auto"/>
          <w:szCs w:val="21"/>
          <w:highlight w:val="none"/>
        </w:rPr>
        <w:br w:type="page"/>
      </w:r>
    </w:p>
    <w:p>
      <w:pPr>
        <w:spacing w:line="360" w:lineRule="auto"/>
        <w:rPr>
          <w:rFonts w:ascii="宋体" w:hAnsi="宋体" w:cs="宋体"/>
          <w:color w:val="auto"/>
          <w:szCs w:val="21"/>
          <w:highlight w:val="none"/>
        </w:rPr>
      </w:pPr>
      <w:r>
        <w:rPr>
          <w:rFonts w:ascii="宋体" w:hAnsi="宋体" w:cs="宋体" w:hint="default"/>
          <w:color w:val="auto"/>
          <w:szCs w:val="21"/>
          <w:highlight w:val="none"/>
        </w:rPr>
        <w:t>4.5</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系加盟或代理经营某品牌，须提供该品牌的授权书，既可直接使用品牌公司的授权书格式，也可以参考以下格式。</w:t>
      </w:r>
    </w:p>
    <w:p>
      <w:pPr>
        <w:pStyle w:val="2"/>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u w:val="singl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u w:val="singl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公司在成都双流国际机场航站楼经营，由该公司参与成都双流国际机场T2航站楼招商，并签订经营合同。授权期限自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2"/>
        <w:spacing w:line="360" w:lineRule="auto"/>
        <w:ind w:left="420" w:firstLine="0"/>
        <w:rPr>
          <w:rFonts w:ascii="宋体" w:hAnsi="宋体" w:cs="宋体"/>
          <w:color w:val="auto"/>
          <w:szCs w:val="21"/>
          <w:highlight w:val="none"/>
        </w:rPr>
      </w:pPr>
    </w:p>
    <w:p>
      <w:pPr>
        <w:pStyle w:val="2"/>
        <w:spacing w:line="360" w:lineRule="auto"/>
        <w:ind w:left="420" w:firstLine="0"/>
        <w:rPr>
          <w:rFonts w:ascii="宋体" w:hAnsi="宋体" w:cs="宋体"/>
          <w:color w:val="auto"/>
          <w:szCs w:val="21"/>
          <w:highlight w:val="none"/>
        </w:rPr>
      </w:pPr>
    </w:p>
    <w:p>
      <w:pPr>
        <w:spacing w:line="360" w:lineRule="auto"/>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spacing w:line="360" w:lineRule="auto"/>
        <w:rPr>
          <w:rFonts w:ascii="宋体" w:hAnsi="宋体" w:cs="宋体"/>
          <w:color w:val="auto"/>
          <w:szCs w:val="21"/>
          <w:highlight w:val="none"/>
        </w:rPr>
      </w:pPr>
      <w:bookmarkStart w:id="13" w:name="_Toc25739"/>
      <w:bookmarkStart w:id="14" w:name="_Toc15781"/>
      <w:bookmarkStart w:id="15" w:name="_Toc9773"/>
      <w:bookmarkStart w:id="16" w:name="_Toc8152"/>
      <w:bookmarkStart w:id="17" w:name="_Toc9567"/>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bookmarkEnd w:id="13"/>
      <w:bookmarkEnd w:id="14"/>
      <w:bookmarkEnd w:id="15"/>
      <w:bookmarkEnd w:id="16"/>
      <w:bookmarkEnd w:id="17"/>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pStyle w:val="a"/>
        <w:rPr>
          <w:rFonts w:ascii="宋体" w:hAnsi="宋体" w:cs="宋体"/>
          <w:b/>
          <w:bCs/>
          <w:color w:val="auto"/>
          <w:sz w:val="21"/>
          <w:szCs w:val="21"/>
          <w:highlight w:val="none"/>
        </w:rPr>
      </w:pPr>
      <w:r>
        <w:rPr>
          <w:rFonts w:ascii="宋体" w:hAnsi="宋体" w:cs="宋体"/>
          <w:b/>
          <w:bCs/>
          <w:color w:val="auto"/>
          <w:sz w:val="21"/>
          <w:szCs w:val="21"/>
          <w:highlight w:val="none"/>
        </w:rPr>
        <w:t>5</w:t>
      </w:r>
      <w:r>
        <w:rPr>
          <w:rFonts w:ascii="宋体" w:hAnsi="宋体" w:cs="宋体" w:hint="eastAsia"/>
          <w:b/>
          <w:bCs/>
          <w:color w:val="auto"/>
          <w:sz w:val="21"/>
          <w:szCs w:val="21"/>
          <w:highlight w:val="none"/>
          <w:lang/>
        </w:rPr>
        <w:t>.</w:t>
      </w:r>
    </w:p>
    <w:p>
      <w:pPr>
        <w:pStyle w:val="a"/>
        <w:rPr>
          <w:rFonts w:ascii="宋体" w:hAnsi="宋体" w:cs="宋体"/>
          <w:color w:val="auto"/>
          <w:sz w:val="21"/>
          <w:szCs w:val="21"/>
          <w:highlight w:val="none"/>
        </w:rPr>
      </w:pPr>
      <w:r>
        <w:rPr>
          <w:rFonts w:ascii="宋体" w:hAnsi="宋体" w:cs="宋体" w:hint="eastAsia"/>
          <w:color w:val="auto"/>
          <w:sz w:val="21"/>
          <w:szCs w:val="21"/>
          <w:highlight w:val="none"/>
        </w:rPr>
        <w:t>（1）对标承诺书</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 xml:space="preserve">  </w:t>
      </w:r>
      <w:r>
        <w:rPr>
          <w:rFonts w:ascii="宋体" w:hAnsi="宋体" w:cs="宋体" w:hint="eastAsia"/>
          <w:color w:val="auto"/>
          <w:sz w:val="21"/>
          <w:szCs w:val="21"/>
          <w:highlight w:val="none"/>
          <w:lang w:eastAsia="zh-CN"/>
        </w:rPr>
        <w:t>商家</w:t>
      </w:r>
      <w:r>
        <w:rPr>
          <w:rFonts w:ascii="宋体" w:hAnsi="宋体" w:cs="宋体" w:hint="eastAsia"/>
          <w:color w:val="auto"/>
          <w:sz w:val="21"/>
          <w:szCs w:val="21"/>
          <w:highlight w:val="none"/>
        </w:rPr>
        <w:t>承诺对标人认可的商圈、商业体的对标店铺名称、产品清单及价格。</w:t>
      </w:r>
    </w:p>
    <w:p>
      <w:pPr>
        <w:pStyle w:val="a"/>
        <w:spacing w:line="360" w:lineRule="auto"/>
        <w:rPr>
          <w:rFonts w:ascii="宋体" w:hAnsi="宋体" w:cs="宋体"/>
          <w:color w:val="auto"/>
          <w:sz w:val="21"/>
          <w:szCs w:val="21"/>
          <w:highlight w:val="none"/>
        </w:rPr>
      </w:pPr>
    </w:p>
    <w:p>
      <w:pPr>
        <w:pStyle w:val="a"/>
        <w:spacing w:line="360" w:lineRule="auto"/>
        <w:jc w:val="center"/>
        <w:rPr>
          <w:rFonts w:ascii="宋体" w:hAnsi="宋体" w:cs="宋体"/>
          <w:b/>
          <w:bCs/>
          <w:color w:val="auto"/>
          <w:sz w:val="21"/>
          <w:szCs w:val="21"/>
          <w:highlight w:val="none"/>
        </w:rPr>
      </w:pPr>
      <w:r>
        <w:rPr>
          <w:rFonts w:ascii="宋体" w:hAnsi="宋体" w:cs="宋体" w:hint="eastAsia"/>
          <w:b/>
          <w:bCs/>
          <w:color w:val="auto"/>
          <w:sz w:val="21"/>
          <w:szCs w:val="21"/>
          <w:highlight w:val="none"/>
        </w:rPr>
        <w:t>对标承诺书</w:t>
      </w: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我公司郑重承诺：</w:t>
      </w:r>
    </w:p>
    <w:p>
      <w:pPr>
        <w:pStyle w:val="a"/>
        <w:spacing w:line="360" w:lineRule="auto"/>
        <w:ind w:firstLine="420"/>
        <w:rPr>
          <w:rFonts w:ascii="宋体" w:hAnsi="宋体" w:cs="宋体"/>
          <w:color w:val="auto"/>
          <w:sz w:val="21"/>
          <w:szCs w:val="21"/>
          <w:highlight w:val="none"/>
        </w:rPr>
      </w:pPr>
      <w:r>
        <w:rPr>
          <w:rFonts w:ascii="宋体" w:hAnsi="宋体" w:cs="宋体" w:hint="eastAsia"/>
          <w:color w:val="auto"/>
          <w:sz w:val="21"/>
          <w:szCs w:val="21"/>
          <w:highlight w:val="none"/>
        </w:rPr>
        <w:t>成都双流国际机场T</w:t>
      </w:r>
      <w:r>
        <w:rPr>
          <w:rFonts w:ascii="宋体" w:hAnsi="宋体" w:cs="宋体"/>
          <w:color w:val="auto"/>
          <w:sz w:val="21"/>
          <w:szCs w:val="21"/>
          <w:highlight w:val="none"/>
        </w:rPr>
        <w:t>2</w:t>
      </w:r>
      <w:r>
        <w:rPr>
          <w:rFonts w:ascii="宋体" w:hAnsi="宋体" w:cs="宋体" w:hint="eastAsia"/>
          <w:color w:val="auto"/>
          <w:sz w:val="21"/>
          <w:szCs w:val="21"/>
          <w:highlight w:val="none"/>
        </w:rPr>
        <w:t>航站楼招商</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标段投报的</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品牌与成都市区</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（地址）的相同品牌店铺对标，在此销售的商品质量、规格、价格与对标店铺保持一致（详见附件商品清单）。</w:t>
      </w:r>
    </w:p>
    <w:p>
      <w:pPr>
        <w:pStyle w:val="a"/>
        <w:spacing w:line="360" w:lineRule="auto"/>
        <w:jc w:val="both"/>
        <w:rPr>
          <w:rFonts w:ascii="宋体" w:hAnsi="宋体" w:cs="宋体"/>
          <w:color w:val="auto"/>
          <w:sz w:val="21"/>
          <w:szCs w:val="21"/>
          <w:highlight w:val="none"/>
        </w:rPr>
      </w:pPr>
    </w:p>
    <w:p>
      <w:pPr>
        <w:pStyle w:val="a"/>
        <w:spacing w:line="360" w:lineRule="auto"/>
        <w:ind w:firstLine="420"/>
        <w:jc w:val="both"/>
        <w:rPr>
          <w:rFonts w:ascii="宋体" w:hAnsi="宋体" w:cs="宋体"/>
          <w:color w:val="auto"/>
          <w:sz w:val="21"/>
          <w:szCs w:val="21"/>
          <w:highlight w:val="none"/>
          <w:u w:val="single"/>
        </w:rPr>
      </w:pPr>
      <w:r>
        <w:rPr>
          <w:rFonts w:ascii="宋体" w:hAnsi="宋体" w:cs="宋体" w:hint="eastAsia"/>
          <w:color w:val="auto"/>
          <w:sz w:val="21"/>
          <w:szCs w:val="21"/>
          <w:highlight w:val="none"/>
        </w:rPr>
        <w:t>若我公司投报的</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 xml:space="preserve">品牌在成都市区无相同品牌对标，则承诺对标 </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（省会城市、直辖市、深圳市区、港澳台）</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（地址）的</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品牌店铺，在此销售的商品质量、规格、价格与对标店铺保持一致（详见附件商品清单）。</w:t>
      </w:r>
    </w:p>
    <w:p>
      <w:pPr>
        <w:pStyle w:val="a"/>
        <w:spacing w:line="360" w:lineRule="auto"/>
        <w:ind w:left="420"/>
        <w:rPr>
          <w:rFonts w:ascii="宋体" w:hAnsi="宋体" w:cs="宋体"/>
          <w:b/>
          <w:bCs/>
          <w:color w:val="auto"/>
          <w:sz w:val="21"/>
          <w:szCs w:val="21"/>
          <w:highlight w:val="none"/>
          <w:u w:val="single"/>
        </w:rPr>
      </w:pPr>
    </w:p>
    <w:p>
      <w:pPr>
        <w:pStyle w:val="a"/>
        <w:spacing w:line="360" w:lineRule="auto"/>
        <w:ind w:left="42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u w:val="single"/>
        </w:rPr>
      </w:pPr>
      <w:r>
        <w:rPr>
          <w:rFonts w:ascii="宋体" w:hAnsi="宋体" w:cs="宋体" w:hint="eastAsia"/>
          <w:color w:val="auto"/>
          <w:sz w:val="21"/>
          <w:szCs w:val="21"/>
          <w:highlight w:val="none"/>
        </w:rPr>
        <w:t xml:space="preserve">                                  承诺单位：</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（需盖鲜章）</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 xml:space="preserve">                                 日期：</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年</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月</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日</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color w:val="auto"/>
          <w:sz w:val="21"/>
          <w:szCs w:val="21"/>
          <w:highlight w:val="none"/>
        </w:rPr>
      </w:pPr>
      <w:r>
        <w:rPr>
          <w:rFonts w:ascii="宋体" w:hAnsi="宋体" w:cs="宋体" w:hint="eastAsia"/>
          <w:color w:val="auto"/>
          <w:szCs w:val="21"/>
          <w:highlight w:val="none"/>
        </w:rPr>
        <w:t>（</w:t>
      </w:r>
      <w:r>
        <w:rPr>
          <w:rFonts w:ascii="宋体" w:hAnsi="宋体" w:cs="宋体" w:hint="default"/>
          <w:color w:val="auto"/>
          <w:szCs w:val="21"/>
          <w:highlight w:val="none"/>
        </w:rPr>
        <w:t>2</w:t>
      </w:r>
      <w:r>
        <w:rPr>
          <w:rFonts w:ascii="宋体" w:hAnsi="宋体" w:cs="宋体" w:hint="eastAsia"/>
          <w:color w:val="auto"/>
          <w:szCs w:val="21"/>
          <w:highlight w:val="none"/>
        </w:rPr>
        <w:t>）</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认为需要提供的其他资料。</w:t>
      </w:r>
    </w:p>
    <w:p>
      <w:pPr>
        <w:spacing w:line="360" w:lineRule="auto"/>
        <w:outlineLvl w:val="1"/>
        <w:rPr>
          <w:rFonts w:ascii="宋体" w:hAnsi="宋体" w:cs="宋体" w:hint="eastAsia"/>
          <w:b/>
          <w:bCs/>
          <w:color w:val="auto"/>
          <w:szCs w:val="21"/>
          <w:highlight w:val="none"/>
        </w:rPr>
      </w:pPr>
      <w:bookmarkStart w:id="18" w:name="_Toc28269"/>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hint="eastAsia"/>
          <w:b/>
          <w:bCs/>
          <w:color w:val="auto"/>
          <w:szCs w:val="21"/>
          <w:highlight w:val="none"/>
        </w:rPr>
      </w:pPr>
    </w:p>
    <w:p>
      <w:pPr>
        <w:spacing w:line="360" w:lineRule="auto"/>
        <w:outlineLvl w:val="1"/>
        <w:rPr>
          <w:rFonts w:ascii="宋体" w:hAnsi="宋体" w:cs="宋体"/>
          <w:b/>
          <w:bCs/>
          <w:color w:val="auto"/>
          <w:sz w:val="24"/>
          <w:highlight w:val="none"/>
        </w:rPr>
      </w:pPr>
      <w:r>
        <w:rPr>
          <w:rFonts w:ascii="宋体" w:hAnsi="宋体" w:cs="宋体" w:hint="eastAsia"/>
          <w:b/>
          <w:bCs/>
          <w:color w:val="auto"/>
          <w:szCs w:val="21"/>
          <w:highlight w:val="none"/>
        </w:rPr>
        <w:t>二、</w:t>
      </w:r>
      <w:bookmarkEnd w:id="8"/>
      <w:bookmarkEnd w:id="9"/>
      <w:bookmarkEnd w:id="10"/>
      <w:bookmarkEnd w:id="18"/>
      <w:bookmarkStart w:id="19" w:name="_Toc24349"/>
      <w:r>
        <w:rPr>
          <w:rFonts w:ascii="宋体" w:hAnsi="宋体" w:cs="宋体" w:hint="eastAsia"/>
          <w:b/>
          <w:bCs/>
          <w:color w:val="auto"/>
          <w:sz w:val="24"/>
          <w:highlight w:val="none"/>
        </w:rPr>
        <w:t>商务方案分册</w:t>
      </w:r>
      <w:bookmarkEnd w:id="19"/>
    </w:p>
    <w:p>
      <w:pPr>
        <w:spacing w:line="360" w:lineRule="auto"/>
        <w:jc w:val="center"/>
        <w:rPr>
          <w:color w:val="auto"/>
          <w:highlight w:val="none"/>
        </w:rPr>
      </w:pPr>
      <w:r>
        <w:rPr>
          <w:rFonts w:ascii="宋体" w:hAnsi="宋体" w:cs="宋体" w:hint="eastAsia"/>
          <w:b/>
          <w:bCs/>
          <w:color w:val="auto"/>
          <w:sz w:val="28"/>
          <w:szCs w:val="28"/>
          <w:highlight w:val="none"/>
          <w:lang/>
        </w:rPr>
        <w:t>休闲及其他类</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公司</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u w:val="single"/>
              </w:rPr>
              <w:t xml:space="preserve">      年</w:t>
            </w:r>
            <w:r>
              <w:rPr>
                <w:rFonts w:ascii="宋体" w:hAnsi="宋体" w:cs="宋体" w:hint="eastAsia"/>
                <w:color w:val="auto"/>
                <w:szCs w:val="21"/>
                <w:highlight w:val="none"/>
              </w:rPr>
              <w:t xml:space="preserve">  （最长不超过5年）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双流机场T</w:t>
            </w:r>
            <w:r>
              <w:rPr>
                <w:rFonts w:asciiTheme="minorEastAsia" w:eastAsiaTheme="minorEastAsia" w:hAnsiTheme="minorEastAsia" w:cs="宋体"/>
                <w:color w:val="auto"/>
                <w:szCs w:val="21"/>
                <w:highlight w:val="none"/>
              </w:rPr>
              <w: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color w:val="auto"/>
                <w:szCs w:val="21"/>
                <w:highlight w:val="none"/>
              </w:rPr>
              <w:t>231.7</w:t>
            </w:r>
            <w:r>
              <w:rPr>
                <w:rFonts w:asciiTheme="minorEastAsia" w:eastAsiaTheme="minorEastAsia" w:hAnsiTheme="minorEastAsia" w:cs="宋体" w:hint="eastAsia"/>
                <w:color w:val="auto"/>
                <w:szCs w:val="21"/>
                <w:highlight w:val="none"/>
              </w:rPr>
              <w:t>万人次时月经营费用单价（元/</w:t>
            </w:r>
            <w:r>
              <w:rPr>
                <w:rFonts w:asciiTheme="minorEastAsia" w:eastAsiaTheme="minorEastAsia" w:hAnsiTheme="minorEastAsia" w:cs="宋体" w:hint="eastAsia"/>
                <w:color w:val="auto"/>
                <w:szCs w:val="21"/>
                <w:highlight w:val="none"/>
                <w:lang w:val="en-US" w:eastAsia="zh-CN"/>
              </w:rPr>
              <w:t>席位</w:t>
            </w:r>
            <w:r>
              <w:rPr>
                <w:rFonts w:asciiTheme="minorEastAsia" w:eastAsiaTheme="minorEastAsia" w:hAnsiTheme="minorEastAsia" w:cs="宋体" w:hint="eastAsia"/>
                <w:color w:val="auto"/>
                <w:szCs w:val="21"/>
                <w:highlight w:val="none"/>
              </w:rPr>
              <w:t>/月）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w:t>
            </w:r>
            <w:r>
              <w:rPr>
                <w:rFonts w:ascii="宋体" w:hAnsi="宋体" w:cs="宋体" w:hint="eastAsia"/>
                <w:color w:val="auto"/>
                <w:szCs w:val="21"/>
                <w:highlight w:val="none"/>
                <w:lang w:val="en-US" w:eastAsia="zh-CN"/>
              </w:rPr>
              <w:t>席位</w:t>
            </w:r>
            <w:r>
              <w:rPr>
                <w:rFonts w:ascii="宋体" w:hAnsi="宋体" w:cs="宋体" w:hint="eastAsia"/>
                <w:color w:val="auto"/>
                <w:szCs w:val="21"/>
                <w:highlight w:val="none"/>
              </w:rPr>
              <w:t>/月）</w:t>
            </w:r>
            <w:r>
              <w:rPr>
                <w:rFonts w:ascii="宋体" w:hAnsi="宋体" w:cs="宋体" w:hint="eastAsia"/>
                <w:b/>
                <w:bCs/>
                <w:color w:val="auto"/>
                <w:sz w:val="21"/>
                <w:szCs w:val="21"/>
                <w:highlight w:val="none"/>
              </w:rPr>
              <w:t>(整数）</w:t>
            </w:r>
            <w:bookmarkStart w:id="20" w:name="_GoBack"/>
            <w:bookmarkEnd w:id="20"/>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pStyle w:val="a"/>
              <w:numPr>
                <w:ilvl w:val="0"/>
                <w:numId w:val="4"/>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租金模式为月经营费用。</w:t>
            </w:r>
          </w:p>
          <w:p>
            <w:pPr>
              <w:pStyle w:val="a"/>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的月经营费用随双流国际机场T2航站楼月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Theme="minorEastAsia" w:eastAsiaTheme="minorEastAsia" w:hAnsiTheme="minorEastAsia" w:cs="宋体"/>
                <w:color w:val="auto"/>
                <w:szCs w:val="21"/>
                <w:highlight w:val="none"/>
              </w:rPr>
              <w:t>231.7</w:t>
            </w:r>
            <w:r>
              <w:rPr>
                <w:rFonts w:asciiTheme="minorEastAsia" w:eastAsiaTheme="minorEastAsia" w:hAnsiTheme="minorEastAsia" w:cs="宋体" w:hint="eastAsia"/>
                <w:color w:val="auto"/>
                <w:szCs w:val="21"/>
                <w:highlight w:val="none"/>
              </w:rPr>
              <w:t>万人次</w:t>
            </w:r>
            <w:r>
              <w:rPr>
                <w:rFonts w:ascii="宋体" w:hAnsi="宋体" w:cs="宋体" w:hint="eastAsia"/>
                <w:color w:val="auto"/>
                <w:szCs w:val="21"/>
                <w:highlight w:val="none"/>
              </w:rPr>
              <w:t>进行调整。</w:t>
            </w:r>
          </w:p>
          <w:p>
            <w:pPr>
              <w:pStyle w:val="a"/>
              <w:spacing w:line="360" w:lineRule="auto"/>
              <w:rPr>
                <w:rFonts w:ascii="宋体" w:hAnsi="宋体" w:cs="宋体"/>
                <w:color w:val="auto"/>
                <w:szCs w:val="21"/>
                <w:highlight w:val="none"/>
              </w:rPr>
            </w:pPr>
            <w:r>
              <w:rPr>
                <w:rFonts w:ascii="宋体" w:hAnsi="宋体" w:cs="宋体" w:hint="eastAsia"/>
                <w:color w:val="auto"/>
                <w:szCs w:val="21"/>
                <w:highlight w:val="none"/>
              </w:rPr>
              <w:t>3、经营费用计算均以人民币为单位。</w:t>
            </w:r>
          </w:p>
        </w:tc>
      </w:tr>
    </w:tbl>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5D7F46B3"/>
    <w:multiLevelType w:val="singleLevel"/>
    <w:tmpl w:val="5D7F46B3"/>
    <w:lvl w:ilvl="0">
      <w:start w:val="1"/>
      <w:numFmt w:val="chineseCounting"/>
      <w:suff w:val="nothing"/>
      <w:lvlText w:val="%1、"/>
      <w:lvlJc w:val="left"/>
    </w:lvl>
  </w:abstractNum>
  <w:abstractNum w:abstractNumId="2">
    <w:nsid w:val="5E607173"/>
    <w:multiLevelType w:val="singleLevel"/>
    <w:tmpl w:val="5E607173"/>
    <w:lvl w:ilvl="0">
      <w:start w:val="1"/>
      <w:numFmt w:val="decimal"/>
      <w:suff w:val="nothing"/>
      <w:lvlText w:val="%1、"/>
      <w:lvlJc w:val="left"/>
    </w:lvl>
  </w:abstractNum>
  <w:abstractNum w:abstractNumId="3">
    <w:nsid w:val="6B4347AA"/>
    <w:multiLevelType w:val="multilevel"/>
    <w:tmpl w:val="6B4347AA"/>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NormalWeb">
    <w:name w:val="Normal (Web)"/>
    <w:basedOn w:val="Normal"/>
    <w:qFormat/>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1"/>
    <w:basedOn w:val="Normal"/>
    <w:uiPriority w:val="34"/>
    <w:qFormat/>
    <w:pPr>
      <w:ind w:firstLine="420"/>
    </w:pPr>
  </w:style>
  <w:style w:type="paragraph" w:customStyle="1" w:styleId="2">
    <w:name w:val="列表段落2"/>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2014-10-29T12:08:00Z</dcterms:created>
  <dcterms:modified xsi:type="dcterms:W3CDTF">2024-01-19T01:57:04Z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