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hAnsi="宋体" w:cs="宋体" w:hint="eastAsia"/>
          <w:b/>
          <w:bCs/>
          <w:color w:val="auto"/>
          <w:sz w:val="52"/>
          <w:szCs w:val="52"/>
          <w:highlight w:val="none"/>
        </w:rPr>
      </w:pPr>
      <w:bookmarkStart w:id="0" w:name="_Toc12386"/>
      <w:bookmarkStart w:id="1" w:name="_GoBack"/>
      <w:bookmarkEnd w:id="1"/>
      <w:r>
        <w:rPr>
          <w:rFonts w:ascii="宋体" w:hAnsi="宋体" w:cs="宋体" w:hint="eastAsia"/>
          <w:b/>
          <w:bCs/>
          <w:color w:val="auto"/>
          <w:sz w:val="30"/>
          <w:szCs w:val="30"/>
          <w:highlight w:val="none"/>
          <w:lang w:val="en-US" w:eastAsia="zh-CN"/>
        </w:rPr>
        <w:t>附件1-2：商家资料清单（综合百货）</w:t>
      </w:r>
    </w:p>
    <w:p>
      <w:pPr>
        <w:spacing w:line="360" w:lineRule="auto"/>
        <w:jc w:val="center"/>
        <w:outlineLvl w:val="0"/>
        <w:rPr>
          <w:rFonts w:asciiTheme="majorEastAsia" w:eastAsiaTheme="majorEastAsia" w:hAnsiTheme="majorEastAsia" w:cstheme="majorEastAsia" w:hint="eastAsia"/>
          <w:color w:val="auto"/>
          <w:highlight w:val="none"/>
        </w:rPr>
      </w:pPr>
      <w:bookmarkEnd w:id="0"/>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2" w:name="_Toc6859"/>
      <w:r>
        <w:rPr>
          <w:rFonts w:ascii="宋体" w:hAnsi="宋体" w:cs="宋体" w:hint="eastAsia"/>
          <w:b/>
          <w:bCs/>
          <w:color w:val="auto"/>
          <w:szCs w:val="21"/>
          <w:highlight w:val="none"/>
        </w:rPr>
        <w:t>（一）技术方案分册</w:t>
      </w:r>
      <w:bookmarkEnd w:id="2"/>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旅游景区、游乐园、高速服务区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成都双流国际机场T</w:t>
      </w:r>
      <w:r>
        <w:rPr>
          <w:rFonts w:ascii="宋体" w:hAnsi="宋体" w:cs="宋体" w:hint="eastAsia"/>
          <w:color w:val="auto"/>
          <w:sz w:val="21"/>
          <w:szCs w:val="21"/>
          <w:highlight w:val="none"/>
          <w:lang w:val="en-US" w:eastAsia="zh-CN"/>
        </w:rPr>
        <w:t>2</w:t>
      </w:r>
      <w:r>
        <w:rPr>
          <w:rFonts w:ascii="宋体" w:hAnsi="宋体" w:cs="宋体" w:hint="eastAsia"/>
          <w:color w:val="auto"/>
          <w:sz w:val="21"/>
          <w:szCs w:val="21"/>
          <w:highlight w:val="none"/>
        </w:rPr>
        <w:t>航站楼招商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旅游景区</w:t>
      </w:r>
      <w:r>
        <w:rPr>
          <w:rFonts w:ascii="宋体" w:eastAsia="宋体" w:hAnsi="宋体" w:cs="宋体" w:hint="eastAsia"/>
          <w:color w:val="auto"/>
          <w:szCs w:val="21"/>
          <w:highlight w:val="none"/>
        </w:rPr>
        <w:t>、</w:t>
      </w:r>
      <w:r>
        <w:rPr>
          <w:rFonts w:ascii="宋体" w:hAnsi="宋体" w:cs="宋体" w:hint="eastAsia"/>
          <w:color w:val="auto"/>
          <w:szCs w:val="21"/>
          <w:highlight w:val="none"/>
          <w:lang w:val="en-US" w:eastAsia="zh-CN"/>
        </w:rPr>
        <w:t>游乐园、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提供2021年度-2023年度三年经会计师事务所审计的财务报告（至少包含资产负债表、利润表、现金流量表三张主表）复印件，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240" w:lineRule="auto"/>
        <w:ind w:firstLine="0"/>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2023</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2021-2023年</w:t>
      </w:r>
      <w:r>
        <w:rPr>
          <w:rFonts w:ascii="宋体" w:hAnsi="宋体" w:cs="宋体" w:hint="eastAsia"/>
          <w:color w:val="auto"/>
          <w:kern w:val="0"/>
          <w:szCs w:val="21"/>
          <w:highlight w:val="none"/>
        </w:rPr>
        <w:t>期间任意一年1500万人次及以上机场有：广州/白云、上海/浦东、北京/首都、深圳/宝安、成都/天府、重庆/江北、上海/虹桥、昆明/长水、西安/咸阳、杭州/萧山、北京/大兴、成都/双流、南京/禄口、长沙/黄花、武汉/天河、郑州/新郑、乌鲁木齐/地窝堡、海口/美兰、厦门/高崎、三亚/凤凰、青岛/胶东、哈尔滨/太平、沈阳/桃仙、贵阳/龙洞堡、天津/滨海、济南/遥墙、大连/周水子、兰州/中川、长春/龙嘉。</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2024年10月31日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val="en-US"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2024年10月31日，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2024年10月31日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val="en-US"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2024年10月31日，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highlight w:val="none"/>
        </w:rPr>
      </w:pPr>
    </w:p>
    <w:p>
      <w:pPr>
        <w:spacing w:line="240" w:lineRule="auto"/>
        <w:jc w:val="left"/>
        <w:outlineLvl w:val="3"/>
        <w:rPr>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响应人2021</w:t>
      </w:r>
      <w:r>
        <w:rPr>
          <w:rFonts w:ascii="宋体" w:hAnsi="宋体" w:cs="宋体" w:hint="eastAsia"/>
          <w:color w:val="auto"/>
          <w:szCs w:val="21"/>
          <w:highlight w:val="none"/>
          <w:lang w:val="en-US" w:eastAsia="zh-CN"/>
        </w:rPr>
        <w:t>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1.1</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ind w:firstLine="422"/>
        <w:rPr>
          <w:rFonts w:ascii="宋体" w:eastAsia="宋体" w:hAnsi="宋体" w:cs="宋体" w:hint="default"/>
          <w:b/>
          <w:bCs/>
          <w:color w:val="auto"/>
          <w:szCs w:val="21"/>
          <w:highlight w:val="none"/>
          <w:lang w:val="en-US" w:eastAsia="zh-CN"/>
        </w:rPr>
      </w:pPr>
      <w:r>
        <w:rPr>
          <w:rFonts w:ascii="宋体" w:hAnsi="宋体" w:cs="宋体" w:hint="eastAsia"/>
          <w:b/>
          <w:bCs/>
          <w:color w:val="auto"/>
          <w:szCs w:val="21"/>
          <w:highlight w:val="none"/>
          <w:lang w:val="en-US" w:eastAsia="zh-CN"/>
        </w:rPr>
        <w:t>注：品牌组合店铺若经营模式有差异，请分品牌提供承诺书。</w:t>
      </w: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航站楼招商</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rFonts w:ascii="宋体" w:hAnsi="宋体" w:cs="宋体" w:hint="eastAsia"/>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kern w:val="2"/>
          <w:szCs w:val="21"/>
          <w:highlight w:val="none"/>
          <w:lang w:val="en-US" w:eastAsia="zh-CN"/>
        </w:rPr>
      </w:pPr>
      <w:bookmarkStart w:id="3" w:name="_Toc27037"/>
      <w:bookmarkStart w:id="4" w:name="_Toc4063"/>
      <w:bookmarkStart w:id="5" w:name="_Hlk41556141"/>
      <w:bookmarkStart w:id="6" w:name="_Toc41558662"/>
      <w:bookmarkStart w:id="7" w:name="_Toc9087"/>
      <w:r>
        <w:rPr>
          <w:rFonts w:ascii="宋体" w:hAnsi="宋体" w:cs="宋体" w:hint="eastAsia"/>
          <w:color w:val="auto"/>
          <w:szCs w:val="21"/>
          <w:highlight w:val="none"/>
        </w:rPr>
        <w:t>4.2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宋体" w:hAnsi="宋体" w:cs="宋体" w:hint="eastAsia"/>
          <w:b/>
          <w:bCs/>
          <w:color w:val="auto"/>
          <w:szCs w:val="21"/>
          <w:highlight w:val="none"/>
        </w:rPr>
      </w:pPr>
      <w:r>
        <w:rPr>
          <w:rFonts w:ascii="宋体" w:hAnsi="宋体" w:cs="宋体" w:hint="eastAsia"/>
          <w:color w:val="auto"/>
          <w:szCs w:val="21"/>
          <w:highlight w:val="none"/>
          <w:lang w:val="en-US" w:eastAsia="zh-CN"/>
        </w:rPr>
        <w:t>注：①</w:t>
      </w:r>
      <w:r>
        <w:rPr>
          <w:rFonts w:ascii="宋体" w:hAnsi="宋体" w:cs="宋体" w:hint="eastAsia"/>
          <w:b/>
          <w:bCs/>
          <w:color w:val="auto"/>
          <w:szCs w:val="21"/>
          <w:highlight w:val="none"/>
        </w:rPr>
        <w:t>证明</w:t>
      </w:r>
      <w:r>
        <w:rPr>
          <w:rFonts w:ascii="宋体" w:hAnsi="宋体" w:cs="宋体" w:hint="eastAsia"/>
          <w:b/>
          <w:bCs/>
          <w:color w:val="auto"/>
          <w:szCs w:val="21"/>
          <w:highlight w:val="none"/>
          <w:lang w:val="en-US" w:eastAsia="zh-CN"/>
        </w:rPr>
        <w:t>材料</w:t>
      </w:r>
      <w:r>
        <w:rPr>
          <w:rFonts w:ascii="宋体" w:hAnsi="宋体" w:cs="宋体" w:hint="eastAsia"/>
          <w:b/>
          <w:bCs/>
          <w:color w:val="auto"/>
          <w:szCs w:val="21"/>
          <w:highlight w:val="none"/>
          <w:lang w:eastAsia="zh-CN"/>
        </w:rPr>
        <w:t>（</w:t>
      </w:r>
      <w:r>
        <w:rPr>
          <w:rFonts w:hint="eastAsia"/>
          <w:b w:val="0"/>
          <w:bCs/>
          <w:sz w:val="21"/>
          <w:szCs w:val="21"/>
          <w:highlight w:val="none"/>
          <w:lang w:val="en-US" w:eastAsia="zh-CN"/>
        </w:rPr>
        <w:t>包括但不限于大众点评截图或国内知名连锁品牌官方提供的证明文件</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加</w:t>
      </w:r>
      <w:r>
        <w:rPr>
          <w:rFonts w:ascii="宋体" w:hAnsi="宋体" w:cs="宋体" w:hint="eastAsia"/>
          <w:b/>
          <w:bCs/>
          <w:color w:val="auto"/>
          <w:szCs w:val="21"/>
          <w:highlight w:val="none"/>
        </w:rPr>
        <w:t>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p>
    <w:p>
      <w:pPr>
        <w:spacing w:line="360" w:lineRule="auto"/>
        <w:ind w:firstLine="422"/>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lang w:val="en-US" w:eastAsia="zh-CN"/>
        </w:rPr>
        <w:t>②</w:t>
      </w:r>
      <w:r>
        <w:rPr>
          <w:rFonts w:cs="Calibri" w:hint="eastAsia"/>
          <w:color w:val="auto"/>
          <w:szCs w:val="21"/>
          <w:highlight w:val="none"/>
          <w:lang w:val="en-US" w:eastAsia="zh-CN"/>
        </w:rPr>
        <w:t>过去曾开店、现状未开店的情况，不算作首店</w:t>
      </w:r>
      <w:r>
        <w:rPr>
          <w:rFonts w:ascii="宋体" w:hAnsi="宋体" w:cs="宋体" w:hint="eastAsia"/>
          <w:b/>
          <w:bCs/>
          <w:color w:val="auto"/>
          <w:szCs w:val="21"/>
          <w:highlight w:val="none"/>
          <w:lang w:eastAsia="zh-CN"/>
        </w:rPr>
        <w:t>。</w:t>
      </w:r>
    </w:p>
    <w:p>
      <w:pPr>
        <w:spacing w:line="360" w:lineRule="auto"/>
        <w:ind w:firstLine="420"/>
        <w:jc w:val="left"/>
        <w:rPr>
          <w:rFonts w:ascii="宋体" w:hAnsi="宋体" w:cs="宋体" w:hint="eastAsia"/>
          <w:color w:val="auto"/>
          <w:szCs w:val="21"/>
          <w:highlight w:val="none"/>
          <w:lang w:val="en-US" w:eastAsia="zh-CN"/>
        </w:rPr>
      </w:pPr>
      <w:r>
        <w:rPr>
          <w:rFonts w:cs="Calibri" w:hint="eastAsia"/>
          <w:color w:val="auto"/>
          <w:szCs w:val="21"/>
          <w:highlight w:val="none"/>
          <w:lang w:val="en-US" w:eastAsia="zh-CN"/>
        </w:rPr>
        <w:t>③</w:t>
      </w:r>
      <w:r>
        <w:rPr>
          <w:rFonts w:ascii="宋体" w:hAnsi="宋体" w:cs="宋体" w:hint="eastAsia"/>
          <w:color w:val="auto"/>
          <w:szCs w:val="21"/>
          <w:highlight w:val="none"/>
          <w:lang w:val="en-US" w:eastAsia="zh-CN"/>
        </w:rPr>
        <w:t>非首店或</w:t>
      </w:r>
      <w:r>
        <w:rPr>
          <w:rFonts w:ascii="宋体" w:hAnsi="宋体" w:cs="宋体" w:hint="eastAsia"/>
          <w:color w:val="auto"/>
          <w:kern w:val="0"/>
          <w:szCs w:val="21"/>
          <w:highlight w:val="none"/>
          <w:lang w:val="en-US" w:eastAsia="zh-CN"/>
        </w:rPr>
        <w:t>非知名品牌/普通自有品牌机场首店可不提供</w:t>
      </w:r>
      <w:r>
        <w:rPr>
          <w:rFonts w:ascii="宋体" w:hAnsi="宋体" w:cs="宋体" w:hint="eastAsia"/>
          <w:color w:val="auto"/>
          <w:szCs w:val="21"/>
          <w:highlight w:val="none"/>
          <w:lang w:val="en-US" w:eastAsia="zh-CN"/>
        </w:rPr>
        <w:t>。</w:t>
      </w: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8"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8"/>
      <w:r>
        <w:rPr>
          <w:rFonts w:ascii="宋体" w:hAnsi="宋体" w:cs="宋体" w:hint="eastAsia"/>
          <w:b/>
          <w:bCs/>
          <w:color w:val="auto"/>
          <w:szCs w:val="21"/>
          <w:highlight w:val="none"/>
        </w:rPr>
        <w:t>情况</w:t>
      </w:r>
    </w:p>
    <w:p>
      <w:pPr>
        <w:spacing w:line="360" w:lineRule="auto"/>
        <w:outlineLvl w:val="3"/>
        <w:rPr>
          <w:rFonts w:ascii="宋体" w:hAnsi="宋体" w:cs="宋体" w:hint="eastAsia"/>
          <w:color w:val="auto"/>
          <w:szCs w:val="21"/>
          <w:highlight w:val="none"/>
          <w:lang w:val="en-US" w:eastAsia="zh-CN"/>
        </w:rPr>
      </w:pPr>
      <w:r>
        <w:rPr>
          <w:rFonts w:ascii="宋体" w:hAnsi="宋体" w:cs="宋体"/>
          <w:color w:val="auto"/>
          <w:szCs w:val="21"/>
          <w:highlight w:val="none"/>
        </w:rPr>
        <w:t>5.1</w:t>
      </w:r>
      <w:r>
        <w:rPr>
          <w:rFonts w:ascii="宋体" w:hAnsi="宋体" w:cs="宋体" w:hint="eastAsia"/>
          <w:color w:val="auto"/>
          <w:szCs w:val="21"/>
          <w:highlight w:val="none"/>
          <w:lang w:val="en-US" w:eastAsia="zh-CN"/>
        </w:rPr>
        <w:t>品牌知名度</w:t>
      </w:r>
    </w:p>
    <w:p>
      <w:pPr>
        <w:pStyle w:val="a"/>
        <w:ind w:firstLine="420"/>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kern w:val="2"/>
          <w:sz w:val="21"/>
          <w:szCs w:val="21"/>
          <w:highlight w:val="none"/>
          <w:lang w:val="en-US" w:eastAsia="zh-CN" w:bidi="ar-SA"/>
        </w:rPr>
        <w:t>响应人可提供但不限于品牌介绍、</w:t>
      </w:r>
      <w:r>
        <w:rPr>
          <w:rFonts w:ascii="宋体" w:eastAsia="宋体" w:hAnsi="宋体" w:cs="宋体" w:hint="eastAsia"/>
          <w:color w:val="auto"/>
          <w:kern w:val="2"/>
          <w:sz w:val="21"/>
          <w:szCs w:val="21"/>
          <w:highlight w:val="none"/>
          <w:lang w:val="en-US" w:eastAsia="zh-CN" w:bidi="ar-SA"/>
        </w:rPr>
        <w:t>品牌产品特色、针对的客户群、商品价格区间</w:t>
      </w:r>
      <w:r>
        <w:rPr>
          <w:rFonts w:ascii="宋体" w:hAnsi="宋体" w:cs="宋体" w:hint="eastAsia"/>
          <w:color w:val="auto"/>
          <w:kern w:val="2"/>
          <w:sz w:val="21"/>
          <w:szCs w:val="21"/>
          <w:highlight w:val="none"/>
          <w:lang w:val="en-US" w:eastAsia="zh-CN" w:bidi="ar-SA"/>
        </w:rPr>
        <w:t>、</w:t>
      </w:r>
      <w:r>
        <w:rPr>
          <w:rFonts w:ascii="宋体" w:eastAsia="宋体" w:hAnsi="宋体" w:cs="宋体" w:hint="eastAsia"/>
          <w:color w:val="auto"/>
          <w:kern w:val="2"/>
          <w:sz w:val="21"/>
          <w:szCs w:val="21"/>
          <w:highlight w:val="none"/>
          <w:lang w:val="en-US" w:eastAsia="zh-CN" w:bidi="ar-SA"/>
        </w:rPr>
        <w:t>是否具有四川本地特色等。被纳入省级及以上《非物质文化遗产名录》（如有）</w:t>
      </w:r>
      <w:r>
        <w:rPr>
          <w:rFonts w:ascii="宋体" w:hAnsi="宋体" w:cs="宋体" w:hint="eastAsia"/>
          <w:color w:val="auto"/>
          <w:kern w:val="2"/>
          <w:sz w:val="21"/>
          <w:szCs w:val="21"/>
          <w:highlight w:val="none"/>
          <w:lang w:val="en-US" w:eastAsia="zh-CN" w:bidi="ar-SA"/>
        </w:rPr>
        <w:t>，加盖公章</w:t>
      </w:r>
      <w:r>
        <w:rPr>
          <w:rFonts w:ascii="宋体" w:eastAsia="宋体" w:hAnsi="宋体" w:cs="宋体" w:hint="eastAsia"/>
          <w:color w:val="auto"/>
          <w:kern w:val="2"/>
          <w:sz w:val="21"/>
          <w:szCs w:val="21"/>
          <w:highlight w:val="none"/>
          <w:lang w:val="en-US" w:eastAsia="zh-CN" w:bidi="ar-SA"/>
        </w:rPr>
        <w:t>。</w:t>
      </w: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2</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2024年10月31日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val="en-US"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rPr>
          <w:highlight w:val="none"/>
        </w:rPr>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058"/>
        <w:gridCol w:w="1977"/>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p>
        </w:tc>
        <w:tc>
          <w:tcPr>
            <w:tcW w:w="1977"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977"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977"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0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870"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2024年10月31日，</w:t>
            </w:r>
            <w:r>
              <w:rPr>
                <w:rFonts w:hint="eastAsia"/>
                <w:b/>
                <w:bCs/>
                <w:color w:val="auto"/>
                <w:szCs w:val="21"/>
                <w:highlight w:val="none"/>
                <w:u w:val="single"/>
                <w:lang w:val="en-US" w:eastAsia="zh-CN"/>
              </w:rPr>
              <w:t xml:space="preserve">            （品牌名称）在</w:t>
            </w:r>
            <w:r>
              <w:rPr>
                <w:rFonts w:ascii="宋体" w:hAnsi="宋体" w:cs="宋体" w:hint="eastAsia"/>
                <w:b/>
                <w:bCs/>
                <w:color w:val="auto"/>
                <w:kern w:val="0"/>
                <w:szCs w:val="21"/>
                <w:highlight w:val="none"/>
                <w:lang/>
              </w:rPr>
              <w:t>国内省会城市及直辖市、深圳市区、港澳台</w:t>
            </w:r>
            <w:r>
              <w:rPr>
                <w:rFonts w:ascii="宋体" w:hAnsi="宋体" w:cs="宋体" w:hint="eastAsia"/>
                <w:b/>
                <w:bCs/>
                <w:color w:val="auto"/>
                <w:kern w:val="0"/>
                <w:sz w:val="21"/>
                <w:szCs w:val="21"/>
                <w:highlight w:val="none"/>
                <w:lang w:val="en-US" w:eastAsia="zh-CN"/>
              </w:rPr>
              <w:t>商业综合体</w:t>
            </w:r>
            <w:r>
              <w:rPr>
                <w:rFonts w:ascii="宋体" w:hAnsi="宋体" w:cs="宋体" w:hint="eastAsia"/>
                <w:b/>
                <w:bCs/>
                <w:color w:val="auto"/>
                <w:kern w:val="0"/>
                <w:szCs w:val="21"/>
                <w:highlight w:val="none"/>
                <w:lang w:val="en-US" w:eastAsia="zh-CN"/>
              </w:rPr>
              <w:t>布局</w:t>
            </w:r>
            <w:r>
              <w:rPr>
                <w:rFonts w:hint="eastAsia"/>
                <w:b/>
                <w:bCs/>
                <w:color w:val="auto"/>
                <w:szCs w:val="21"/>
                <w:highlight w:val="none"/>
                <w:lang w:val="en-US" w:eastAsia="zh-CN"/>
              </w:rPr>
              <w:t>共开设</w:t>
            </w:r>
            <w:r>
              <w:rPr>
                <w:rFonts w:hint="eastAsia"/>
                <w:b/>
                <w:bCs/>
                <w:color w:val="auto"/>
                <w:szCs w:val="21"/>
                <w:highlight w:val="none"/>
                <w:u w:val="single"/>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b/>
                <w:bCs/>
                <w:color w:val="auto"/>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hint="eastAsia"/>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5.2</w:t>
      </w:r>
      <w:r>
        <w:rPr>
          <w:rFonts w:ascii="宋体" w:hAnsi="宋体" w:cs="宋体" w:hint="eastAsia"/>
          <w:color w:val="auto"/>
          <w:szCs w:val="21"/>
          <w:highlight w:val="none"/>
          <w:lang w:val="en-US" w:eastAsia="zh-CN"/>
        </w:rPr>
        <w:t>.2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val="en-US" w:eastAsia="zh-CN"/>
        </w:rPr>
        <w:t>等</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响应人</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highlight w:val="none"/>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ListParagraph"/>
        <w:spacing w:line="360" w:lineRule="auto"/>
        <w:ind w:firstLine="0"/>
        <w:jc w:val="left"/>
        <w:outlineLvl w:val="3"/>
        <w:rPr>
          <w:rFonts w:ascii="宋体" w:hAnsi="宋体" w:cs="宋体" w:hint="default"/>
          <w:b w:val="0"/>
          <w:bCs w:val="0"/>
          <w:color w:val="auto"/>
          <w:kern w:val="2"/>
          <w:szCs w:val="21"/>
          <w:highlight w:val="none"/>
          <w:lang w:val="en-US" w:eastAsia="zh-CN" w:bidi="ar-SA"/>
        </w:rPr>
      </w:pPr>
      <w:r>
        <w:rPr>
          <w:rFonts w:ascii="宋体" w:hAnsi="宋体" w:cs="宋体" w:hint="default"/>
          <w:b w:val="0"/>
          <w:bCs w:val="0"/>
          <w:color w:val="auto"/>
          <w:kern w:val="2"/>
          <w:szCs w:val="21"/>
          <w:highlight w:val="none"/>
          <w:lang w:val="en-US" w:eastAsia="zh-CN" w:bidi="ar-SA"/>
        </w:rPr>
        <w:t>5.3 品牌坪效（单店年销售额/该单店面积所占平方米数）</w:t>
      </w:r>
    </w:p>
    <w:p>
      <w:pPr>
        <w:pStyle w:val="ListParagraph"/>
        <w:spacing w:line="360" w:lineRule="auto"/>
        <w:ind w:firstLine="0"/>
        <w:jc w:val="left"/>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响应人须提供购物中心或机场业主方提供的2023年度或2023年X月-2024年X月（满12个月）品牌坪效的证明材料，加盖公章。</w:t>
      </w:r>
    </w:p>
    <w:p>
      <w:pPr>
        <w:spacing w:line="360" w:lineRule="auto"/>
        <w:rPr>
          <w:rFonts w:ascii="宋体" w:eastAsia="宋体" w:hAnsi="宋体" w:cs="宋体" w:hint="eastAsia"/>
          <w:b w:val="0"/>
          <w:bCs w:val="0"/>
          <w:color w:val="auto"/>
          <w:szCs w:val="21"/>
          <w:highlight w:val="none"/>
          <w:lang w:eastAsia="zh-CN"/>
        </w:rPr>
      </w:pPr>
      <w:r>
        <w:rPr>
          <w:rFonts w:ascii="宋体" w:hAnsi="宋体" w:cs="宋体" w:hint="eastAsia"/>
          <w:b w:val="0"/>
          <w:bCs w:val="0"/>
          <w:color w:val="auto"/>
          <w:szCs w:val="21"/>
          <w:highlight w:val="none"/>
          <w:lang w:val="en-US" w:eastAsia="zh-CN"/>
        </w:rPr>
        <w:t>若为知名连锁品牌，则对品牌官方出具的证明文件予以认可，需加盖品牌方公章</w:t>
      </w:r>
      <w:r>
        <w:rPr>
          <w:rFonts w:ascii="宋体" w:hAnsi="宋体" w:cs="宋体" w:hint="eastAsia"/>
          <w:b w:val="0"/>
          <w:bCs w:val="0"/>
          <w:color w:val="auto"/>
          <w:szCs w:val="21"/>
          <w:highlight w:val="none"/>
          <w:lang w:eastAsia="zh-CN"/>
        </w:rPr>
        <w:t>。</w:t>
      </w:r>
    </w:p>
    <w:p>
      <w:pPr>
        <w:pStyle w:val="ListParagraph"/>
        <w:spacing w:line="360" w:lineRule="auto"/>
        <w:ind w:firstLine="0"/>
        <w:jc w:val="left"/>
        <w:rPr>
          <w:rFonts w:ascii="宋体" w:hAnsi="宋体" w:cs="宋体" w:hint="eastAsia"/>
          <w:b w:val="0"/>
          <w:bCs w:val="0"/>
          <w:color w:val="auto"/>
          <w:kern w:val="0"/>
          <w:szCs w:val="21"/>
          <w:highlight w:val="none"/>
          <w:lang w:val="en-US" w:eastAsia="zh-CN"/>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hAnsi="宋体" w:cs="宋体" w:hint="default"/>
          <w:color w:val="auto"/>
          <w:sz w:val="21"/>
          <w:szCs w:val="21"/>
          <w:highlight w:val="none"/>
          <w:lang w:val="en-US" w:eastAsia="zh-CN"/>
        </w:rPr>
      </w:pPr>
      <w:r>
        <w:rPr>
          <w:rFonts w:ascii="宋体" w:eastAsia="宋体" w:hAnsi="宋体" w:cs="宋体" w:hint="default"/>
          <w:color w:val="auto"/>
          <w:sz w:val="21"/>
          <w:szCs w:val="21"/>
          <w:highlight w:val="none"/>
          <w:lang w:val="en-US" w:eastAsia="zh-CN"/>
        </w:rPr>
        <w:t>5.4品牌实力与产品适宜性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cs="Times New Roman" w:hint="default"/>
          <w:color w:val="auto"/>
          <w:sz w:val="21"/>
          <w:szCs w:val="21"/>
          <w:highlight w:val="none"/>
          <w:lang w:val="en-US" w:eastAsia="zh-CN"/>
        </w:rPr>
      </w:pPr>
      <w:r>
        <w:rPr>
          <w:rFonts w:ascii="宋体" w:hAnsi="宋体" w:cs="宋体" w:hint="eastAsia"/>
          <w:color w:val="auto"/>
          <w:kern w:val="0"/>
          <w:szCs w:val="21"/>
          <w:highlight w:val="none"/>
          <w:lang w:val="en-US" w:eastAsia="zh-CN"/>
        </w:rPr>
        <w:t>响应人</w:t>
      </w:r>
      <w:r>
        <w:rPr>
          <w:rFonts w:ascii="宋体" w:hAnsi="宋体" w:cs="宋体" w:hint="eastAsia"/>
          <w:color w:val="auto"/>
          <w:szCs w:val="21"/>
          <w:highlight w:val="none"/>
          <w:lang w:val="en-US" w:eastAsia="zh-CN"/>
        </w:rPr>
        <w:t>可提供但不限于</w:t>
      </w:r>
      <w:r>
        <w:rPr>
          <w:rFonts w:ascii="宋体" w:hAnsi="宋体" w:cs="宋体" w:hint="eastAsia"/>
          <w:color w:val="auto"/>
          <w:szCs w:val="21"/>
          <w:highlight w:val="none"/>
        </w:rPr>
        <w:t>品牌定位、品牌历史、</w:t>
      </w:r>
      <w:r>
        <w:rPr>
          <w:rFonts w:ascii="宋体" w:hAnsi="宋体" w:cs="宋体" w:hint="eastAsia"/>
          <w:color w:val="auto"/>
          <w:szCs w:val="21"/>
          <w:highlight w:val="none"/>
          <w:lang w:val="en-US" w:eastAsia="zh-CN"/>
        </w:rPr>
        <w:t>艺人代言、</w:t>
      </w:r>
      <w:r>
        <w:rPr>
          <w:rFonts w:ascii="宋体" w:hAnsi="宋体" w:cs="宋体" w:hint="eastAsia"/>
          <w:color w:val="auto"/>
          <w:szCs w:val="21"/>
          <w:highlight w:val="none"/>
        </w:rPr>
        <w:t>产品合作</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竞争力</w:t>
      </w:r>
      <w:r>
        <w:rPr>
          <w:rFonts w:ascii="宋体" w:hAnsi="宋体" w:cs="宋体" w:hint="eastAsia"/>
          <w:color w:val="auto"/>
          <w:szCs w:val="21"/>
          <w:highlight w:val="none"/>
        </w:rPr>
        <w:t>及联名情况、品牌特色、文化内涵、经济价值</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IP形象开发（如有）、业内所获奖项、</w:t>
      </w:r>
      <w:r>
        <w:rPr>
          <w:rFonts w:ascii="宋体" w:hAnsi="宋体" w:cs="宋体" w:hint="eastAsia"/>
          <w:color w:val="auto"/>
          <w:szCs w:val="21"/>
          <w:highlight w:val="none"/>
        </w:rPr>
        <w:t>可持续发展</w:t>
      </w:r>
      <w:r>
        <w:rPr>
          <w:rFonts w:ascii="宋体" w:hAnsi="宋体" w:cs="宋体" w:hint="eastAsia"/>
          <w:color w:val="auto"/>
          <w:szCs w:val="21"/>
          <w:highlight w:val="none"/>
          <w:lang w:val="en-US" w:eastAsia="zh-CN"/>
        </w:rPr>
        <w:t>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产品多样性及丰富度</w:t>
      </w:r>
      <w:r>
        <w:rPr>
          <w:rFonts w:ascii="宋体" w:hAnsi="宋体" w:cs="宋体" w:hint="eastAsia"/>
          <w:color w:val="auto"/>
          <w:szCs w:val="21"/>
          <w:highlight w:val="none"/>
        </w:rPr>
        <w:t>介绍</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新颖度、适宜性</w:t>
      </w:r>
      <w:r>
        <w:rPr>
          <w:rFonts w:ascii="宋体" w:hAnsi="宋体" w:cs="宋体" w:hint="eastAsia"/>
          <w:color w:val="auto"/>
          <w:szCs w:val="21"/>
          <w:highlight w:val="none"/>
        </w:rPr>
        <w:t>等。</w:t>
      </w:r>
      <w:r>
        <w:rPr>
          <w:rFonts w:ascii="宋体" w:hAnsi="宋体" w:cs="宋体" w:hint="eastAsia"/>
          <w:color w:val="auto"/>
          <w:szCs w:val="21"/>
          <w:highlight w:val="none"/>
          <w:lang w:val="en-US" w:eastAsia="zh-CN"/>
        </w:rPr>
        <w:t>格式自拟，加盖公章。</w:t>
      </w: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3"/>
        </w:numPr>
        <w:spacing w:line="360" w:lineRule="auto"/>
        <w:outlineLvl w:val="2"/>
        <w:rPr>
          <w:rFonts w:ascii="宋体" w:eastAsia="宋体" w:hAnsi="宋体" w:cs="宋体" w:hint="eastAsia"/>
          <w:b/>
          <w:bCs/>
          <w:color w:val="auto"/>
          <w:szCs w:val="21"/>
          <w:highlight w:val="none"/>
        </w:rPr>
      </w:pP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numPr>
          <w:ilvl w:val="-1"/>
          <w:numId w:val="0"/>
        </w:numPr>
        <w:rPr>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spacing w:line="360" w:lineRule="auto"/>
        <w:outlineLvl w:val="1"/>
        <w:rPr>
          <w:rFonts w:ascii="宋体" w:hAnsi="宋体" w:cs="宋体"/>
          <w:b/>
          <w:bCs/>
          <w:color w:val="auto"/>
          <w:sz w:val="24"/>
          <w:highlight w:val="none"/>
        </w:rPr>
      </w:pPr>
      <w:bookmarkStart w:id="9" w:name="_Toc15677"/>
      <w:bookmarkStart w:id="10" w:name="_Toc26002"/>
      <w:r>
        <w:rPr>
          <w:rFonts w:ascii="宋体" w:hAnsi="宋体" w:cs="宋体" w:hint="eastAsia"/>
          <w:b/>
          <w:bCs/>
          <w:color w:val="auto"/>
          <w:szCs w:val="21"/>
          <w:highlight w:val="none"/>
        </w:rPr>
        <w:t>二、</w:t>
      </w:r>
      <w:bookmarkEnd w:id="9"/>
      <w:r>
        <w:rPr>
          <w:rFonts w:ascii="宋体" w:hAnsi="宋体" w:cs="宋体" w:hint="eastAsia"/>
          <w:b/>
          <w:bCs/>
          <w:color w:val="auto"/>
          <w:sz w:val="24"/>
          <w:highlight w:val="none"/>
        </w:rPr>
        <w:t>商务方案分册</w:t>
      </w:r>
      <w:bookmarkEnd w:id="10"/>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 xml:space="preserve">综合百货类 </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5D7F46B3"/>
    <w:multiLevelType w:val="singleLevel"/>
    <w:tmpl w:val="5D7F46B3"/>
    <w:lvl w:ilvl="0">
      <w:start w:val="1"/>
      <w:numFmt w:val="chineseCounting"/>
      <w:suff w:val="nothing"/>
      <w:lvlText w:val="%1、"/>
      <w:lvlJc w:val="left"/>
    </w:lvl>
  </w:abstractNum>
  <w:abstractNum w:abstractNumId="3">
    <w:nsid w:val="5E607173"/>
    <w:multiLevelType w:val="singleLevel"/>
    <w:tmpl w:val="5E607173"/>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2024-10-08T07:14:00Z</dcterms:created>
  <dcterms:modified xsi:type="dcterms:W3CDTF">2024-11-19T07:29:43Z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