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bookmarkStart w:id="0" w:name="_Toc15600"/>
      <w:r>
        <w:rPr>
          <w:rFonts w:hint="eastAsia"/>
          <w:sz w:val="28"/>
          <w:szCs w:val="36"/>
          <w:lang w:val="en-US" w:eastAsia="zh-CN"/>
        </w:rPr>
        <w:t>附件1-4：商家资料清单（西式快餐）</w:t>
      </w:r>
    </w:p>
    <w:p>
      <w:pPr>
        <w:pStyle w:val="a"/>
        <w:jc w:val="center"/>
        <w:rPr>
          <w:rFonts w:hint="eastAsia"/>
          <w:b/>
          <w:sz w:val="32"/>
          <w:szCs w:val="32"/>
          <w:lang w:eastAsia="zh-CN"/>
        </w:rPr>
      </w:pPr>
      <w:r>
        <w:rPr>
          <w:rFonts w:hint="eastAsia"/>
          <w:b/>
          <w:sz w:val="32"/>
          <w:szCs w:val="32"/>
          <w:lang w:val="en-US" w:eastAsia="zh-CN"/>
        </w:rPr>
        <w:t>商家</w:t>
      </w:r>
      <w:r>
        <w:rPr>
          <w:rFonts w:hint="eastAsia"/>
          <w:b/>
          <w:sz w:val="32"/>
          <w:szCs w:val="32"/>
        </w:rPr>
        <w:t>报名资料</w:t>
      </w:r>
      <w:r>
        <w:rPr>
          <w:b/>
          <w:sz w:val="32"/>
          <w:szCs w:val="32"/>
        </w:rPr>
        <w:t>清单</w:t>
      </w:r>
      <w:r>
        <w:rPr>
          <w:rFonts w:hint="eastAsia"/>
          <w:b/>
          <w:sz w:val="32"/>
          <w:szCs w:val="32"/>
          <w:lang w:eastAsia="zh-CN"/>
        </w:rPr>
        <w:t>（</w:t>
      </w:r>
      <w:r>
        <w:rPr>
          <w:rFonts w:hint="eastAsia"/>
          <w:b/>
          <w:sz w:val="32"/>
          <w:szCs w:val="32"/>
          <w:lang w:val="en-US" w:eastAsia="zh-CN"/>
        </w:rPr>
        <w:t>西式快餐</w:t>
      </w:r>
      <w:r>
        <w:rPr>
          <w:rFonts w:hint="eastAsia"/>
          <w:b/>
          <w:sz w:val="32"/>
          <w:szCs w:val="32"/>
          <w:lang w:eastAsia="zh-CN"/>
        </w:rPr>
        <w:t>）</w:t>
      </w:r>
    </w:p>
    <w:p>
      <w:pPr>
        <w:pStyle w:val="a"/>
        <w:numPr>
          <w:ilvl w:val="0"/>
          <w:numId w:val="1"/>
        </w:numPr>
        <w:spacing w:line="360" w:lineRule="auto"/>
        <w:jc w:val="both"/>
        <w:outlineLvl w:val="1"/>
        <w:rPr>
          <w:rFonts w:ascii="宋体" w:hAnsi="宋体" w:cs="宋体"/>
          <w:b/>
          <w:bCs/>
          <w:color w:val="auto"/>
          <w:highlight w:val="none"/>
        </w:rPr>
      </w:pPr>
      <w:bookmarkStart w:id="1" w:name="_Toc16383"/>
      <w:r>
        <w:rPr>
          <w:rFonts w:ascii="宋体" w:hAnsi="宋体" w:cs="宋体" w:hint="eastAsia"/>
          <w:b/>
          <w:bCs/>
          <w:color w:val="auto"/>
          <w:highlight w:val="none"/>
        </w:rPr>
        <w:t>技术方案分册目录</w:t>
      </w:r>
      <w:bookmarkEnd w:id="1"/>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06"/>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一级目录</w:t>
            </w: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二级目录</w:t>
            </w: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三级目录</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备注</w:t>
            </w:r>
          </w:p>
        </w:tc>
        <w:tc>
          <w:tcPr>
            <w:tcW w:w="1704" w:type="dxa"/>
            <w:vAlign w:val="center"/>
          </w:tcPr>
          <w:p>
            <w:pPr>
              <w:spacing w:line="360" w:lineRule="auto"/>
              <w:ind w:firstLine="210"/>
              <w:rPr>
                <w:rFonts w:ascii="宋体" w:hAnsi="宋体" w:cstheme="minorEastAsia"/>
                <w:color w:val="auto"/>
                <w:szCs w:val="21"/>
                <w:highlight w:val="none"/>
              </w:rPr>
            </w:pPr>
            <w:r>
              <w:rPr>
                <w:rFonts w:ascii="宋体" w:hAnsi="宋体" w:cstheme="minorEastAsia" w:hint="eastAsia"/>
                <w:color w:val="auto"/>
                <w:szCs w:val="21"/>
                <w:highlight w:val="none"/>
              </w:rPr>
              <w:t>对应页码</w:t>
            </w: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1.基本情况</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基本资料及承诺书</w:t>
            </w: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1.1合作申请书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按照合作申请书格式签字并加盖单位公章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1.2企业法人营业执照副本复印件</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1.3法人、授托委托人身份证明复印件及授权委托书原件</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1.4符合</w:t>
            </w:r>
            <w:r>
              <w:rPr>
                <w:rFonts w:ascii="宋体" w:hAnsi="宋体" w:cstheme="minorEastAsia" w:hint="eastAsia"/>
                <w:color w:val="auto"/>
                <w:szCs w:val="21"/>
                <w:highlight w:val="none"/>
                <w:lang w:val="en-US" w:eastAsia="zh-CN"/>
              </w:rPr>
              <w:t>招商公告</w:t>
            </w:r>
            <w:r>
              <w:rPr>
                <w:rFonts w:ascii="宋体" w:hAnsi="宋体" w:cstheme="minorEastAsia" w:hint="eastAsia"/>
                <w:color w:val="auto"/>
                <w:szCs w:val="21"/>
                <w:highlight w:val="none"/>
              </w:rPr>
              <w:t>条件承诺书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若</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无</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中不合格</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情形，需要提交承诺书，加盖单位公章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1.5未被列为严重违法失信企业名单（黑名单）截图</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须在</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发布后从“国家企业信用信息公示系统”网站（www.gsxt.gov.cn）截图并加盖单位公章。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2.综合实力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综合实力</w:t>
            </w:r>
          </w:p>
        </w:tc>
        <w:tc>
          <w:tcPr>
            <w:tcW w:w="2306" w:type="dxa"/>
            <w:vAlign w:val="center"/>
          </w:tcPr>
          <w:p>
            <w:pPr>
              <w:spacing w:line="360" w:lineRule="auto"/>
              <w:rPr>
                <w:rFonts w:ascii="宋体" w:hAnsi="宋体" w:cstheme="minorEastAsia"/>
                <w:color w:val="auto"/>
                <w:szCs w:val="21"/>
                <w:highlight w:val="none"/>
              </w:rPr>
            </w:pPr>
            <w:r>
              <w:rPr>
                <w:rFonts w:asciiTheme="minorEastAsia" w:eastAsiaTheme="minorEastAsia" w:hAnsiTheme="minorEastAsia" w:cs="宋体" w:hint="eastAsia"/>
                <w:color w:val="auto"/>
                <w:szCs w:val="21"/>
                <w:highlight w:val="none"/>
              </w:rPr>
              <w:t>2.1</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val="en-US" w:eastAsia="zh-CN"/>
              </w:rPr>
              <w:t>2020-2023年中任意连续三年</w:t>
            </w:r>
            <w:r>
              <w:rPr>
                <w:rFonts w:asciiTheme="minorEastAsia" w:eastAsiaTheme="minorEastAsia" w:hAnsiTheme="minorEastAsia" w:cs="宋体" w:hint="eastAsia"/>
                <w:color w:val="auto"/>
                <w:szCs w:val="21"/>
                <w:highlight w:val="none"/>
              </w:rPr>
              <w:t>的财务报表复印件</w:t>
            </w:r>
            <w:r>
              <w:rPr>
                <w:rFonts w:asciiTheme="minorEastAsia" w:eastAsiaTheme="minorEastAsia" w:hAnsiTheme="minorEastAsia" w:cs="宋体" w:hint="eastAsia"/>
                <w:color w:val="auto"/>
                <w:szCs w:val="21"/>
                <w:highlight w:val="none"/>
                <w:lang w:eastAsia="zh-CN"/>
              </w:rPr>
              <w:t>（</w:t>
            </w:r>
            <w:r>
              <w:rPr>
                <w:rFonts w:asciiTheme="minorEastAsia" w:eastAsiaTheme="minorEastAsia" w:hAnsiTheme="minorEastAsia" w:cs="宋体" w:hint="eastAsia"/>
                <w:color w:val="auto"/>
                <w:szCs w:val="21"/>
                <w:highlight w:val="none"/>
                <w:lang w:val="en-US" w:eastAsia="zh-CN"/>
              </w:rPr>
              <w:t>须有会计师事务所签章）</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其中包括：资产负债表、利润表，加盖单位公章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 xml:space="preserve">2.2 </w:t>
            </w:r>
            <w:r>
              <w:rPr>
                <w:rFonts w:ascii="宋体" w:hAnsi="宋体" w:cstheme="minorEastAsia" w:hint="eastAsia"/>
                <w:color w:val="auto"/>
                <w:szCs w:val="21"/>
                <w:highlight w:val="none"/>
                <w:lang w:eastAsia="zh-CN"/>
              </w:rPr>
              <w:t>2022或2023年</w:t>
            </w:r>
            <w:r>
              <w:rPr>
                <w:rFonts w:ascii="宋体" w:hAnsi="宋体" w:cstheme="minorEastAsia" w:hint="eastAsia"/>
                <w:color w:val="auto"/>
                <w:szCs w:val="21"/>
                <w:highlight w:val="none"/>
              </w:rPr>
              <w:t>度纳税信用等级证明</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3.经营能力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及其分子公司在中国年旅客吞吐量</w:t>
            </w:r>
            <w:r>
              <w:rPr>
                <w:rFonts w:ascii="宋体" w:hAnsi="宋体" w:cstheme="minorEastAsia" w:hint="eastAsia"/>
                <w:color w:val="auto"/>
                <w:szCs w:val="21"/>
                <w:highlight w:val="none"/>
                <w:lang w:eastAsia="zh-CN"/>
              </w:rPr>
              <w:t>2021-2023</w:t>
            </w:r>
            <w:r>
              <w:rPr>
                <w:rFonts w:ascii="宋体" w:hAnsi="宋体" w:cstheme="minorEastAsia" w:hint="eastAsia"/>
                <w:color w:val="auto"/>
                <w:szCs w:val="21"/>
                <w:highlight w:val="none"/>
              </w:rPr>
              <w:t>年期间任意一年1500万人次以上及港澳台机场布局情况</w:t>
            </w: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3.1.1布局列表</w:t>
            </w:r>
          </w:p>
        </w:tc>
        <w:tc>
          <w:tcPr>
            <w:tcW w:w="1704" w:type="dxa"/>
            <w:vAlign w:val="center"/>
          </w:tcPr>
          <w:p>
            <w:pPr>
              <w:spacing w:line="360" w:lineRule="auto"/>
              <w:jc w:val="center"/>
              <w:rPr>
                <w:rFonts w:ascii="宋体" w:hAnsi="宋体" w:cstheme="minorEastAsia"/>
                <w:color w:val="auto"/>
                <w:szCs w:val="21"/>
                <w:highlight w:val="none"/>
              </w:rPr>
            </w:pPr>
          </w:p>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65"/>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06"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3.1.2布局列表的证明文件，包括但不限于合同复印件或业主方证明</w:t>
            </w:r>
          </w:p>
        </w:tc>
        <w:tc>
          <w:tcPr>
            <w:tcW w:w="1704"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2"/>
        </w:trPr>
        <w:tc>
          <w:tcPr>
            <w:tcW w:w="1288" w:type="dxa"/>
            <w:vMerge/>
            <w:vAlign w:val="center"/>
          </w:tcPr>
          <w:p>
            <w:pPr>
              <w:spacing w:line="360" w:lineRule="auto"/>
              <w:rPr>
                <w:rFonts w:ascii="宋体" w:hAnsi="宋体" w:cstheme="minorEastAsia"/>
                <w:color w:val="auto"/>
                <w:szCs w:val="21"/>
                <w:highlight w:val="none"/>
              </w:rPr>
            </w:pP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及其分子公司在国内省会城市及直辖市区</w:t>
            </w:r>
            <w:r>
              <w:rPr>
                <w:rFonts w:ascii="宋体" w:hAnsi="宋体" w:cs="宋体" w:hint="eastAsia"/>
                <w:color w:val="auto"/>
                <w:szCs w:val="21"/>
                <w:highlight w:val="none"/>
              </w:rPr>
              <w:t>、深圳市区、港澳台</w:t>
            </w:r>
            <w:r>
              <w:rPr>
                <w:rFonts w:ascii="宋体" w:hAnsi="宋体" w:cstheme="minorEastAsia" w:hint="eastAsia"/>
                <w:color w:val="auto"/>
                <w:szCs w:val="21"/>
                <w:highlight w:val="none"/>
              </w:rPr>
              <w:t>的布局情况</w:t>
            </w: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3.2.1布局列表</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99"/>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3.2.2布局列表的证明文件，包括但不限于合同复印件或业主方证明</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36"/>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3.3经营模式</w:t>
            </w: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提供品牌直营或授权经营模式的承诺书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0"/>
        </w:trPr>
        <w:tc>
          <w:tcPr>
            <w:tcW w:w="1288" w:type="dxa"/>
            <w:vMerge/>
            <w:vAlign w:val="center"/>
          </w:tcPr>
          <w:p>
            <w:pPr>
              <w:spacing w:line="360" w:lineRule="auto"/>
              <w:rPr>
                <w:rFonts w:ascii="宋体" w:hAnsi="宋体"/>
                <w:color w:val="auto"/>
                <w:szCs w:val="21"/>
                <w:highlight w:val="none"/>
              </w:rPr>
            </w:pPr>
          </w:p>
        </w:tc>
        <w:tc>
          <w:tcPr>
            <w:tcW w:w="1517" w:type="dxa"/>
            <w:vAlign w:val="center"/>
          </w:tcPr>
          <w:p>
            <w:pPr>
              <w:spacing w:line="360" w:lineRule="auto"/>
              <w:rPr>
                <w:rFonts w:ascii="宋体" w:hAnsi="宋体"/>
                <w:color w:val="auto"/>
                <w:szCs w:val="21"/>
                <w:highlight w:val="none"/>
              </w:rPr>
            </w:pPr>
            <w:r>
              <w:rPr>
                <w:rFonts w:ascii="宋体" w:hAnsi="宋体" w:cstheme="minorEastAsia" w:hint="eastAsia"/>
                <w:color w:val="auto"/>
                <w:szCs w:val="21"/>
                <w:highlight w:val="none"/>
              </w:rPr>
              <w:t>3.4</w:t>
            </w:r>
            <w:r>
              <w:rPr>
                <w:rFonts w:ascii="宋体" w:hAnsi="宋体" w:hint="eastAsia"/>
                <w:color w:val="auto"/>
                <w:szCs w:val="21"/>
                <w:highlight w:val="none"/>
              </w:rPr>
              <w:t>经营表现</w:t>
            </w: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商家202</w:t>
            </w:r>
            <w:r>
              <w:rPr>
                <w:rFonts w:ascii="宋体" w:hAnsi="宋体" w:cstheme="minorEastAsia" w:hint="eastAsia"/>
                <w:color w:val="auto"/>
                <w:szCs w:val="21"/>
                <w:highlight w:val="none"/>
                <w:lang w:val="en-US" w:eastAsia="zh-CN"/>
              </w:rPr>
              <w:t>2-</w:t>
            </w:r>
            <w:r>
              <w:rPr>
                <w:rFonts w:ascii="宋体" w:hAnsi="宋体" w:cstheme="minorEastAsia" w:hint="eastAsia"/>
                <w:color w:val="auto"/>
                <w:szCs w:val="21"/>
                <w:highlight w:val="none"/>
                <w:lang w:eastAsia="zh-CN"/>
              </w:rPr>
              <w:t>2023</w:t>
            </w:r>
            <w:r>
              <w:rPr>
                <w:rFonts w:ascii="宋体" w:hAnsi="宋体" w:cstheme="minorEastAsia" w:hint="eastAsia"/>
                <w:color w:val="auto"/>
                <w:szCs w:val="21"/>
                <w:highlight w:val="none"/>
              </w:rPr>
              <w:t>年受国内机场业主方的获奖情况（公司级）</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清晰的证书复印件，加盖单位公章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4.经营方案</w:t>
            </w:r>
          </w:p>
        </w:tc>
        <w:tc>
          <w:tcPr>
            <w:tcW w:w="1517" w:type="dxa"/>
            <w:vMerge w:val="restart"/>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4.1</w:t>
            </w:r>
            <w:r>
              <w:rPr>
                <w:rFonts w:ascii="宋体" w:hAnsi="宋体" w:cs="宋体" w:hint="eastAsia"/>
                <w:color w:val="auto"/>
                <w:szCs w:val="21"/>
                <w:highlight w:val="none"/>
                <w:lang/>
              </w:rPr>
              <w:t>同城同质同价</w:t>
            </w:r>
          </w:p>
        </w:tc>
        <w:tc>
          <w:tcPr>
            <w:tcW w:w="2306"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提供对标承诺书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4.2装修方案、效果图</w:t>
            </w: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品牌统一的装修风格效果图；或者</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针对机场</w:t>
            </w:r>
            <w:r>
              <w:rPr>
                <w:rFonts w:ascii="宋体" w:hAnsi="宋体" w:cstheme="minorEastAsia" w:hint="eastAsia"/>
                <w:color w:val="auto"/>
                <w:szCs w:val="21"/>
                <w:highlight w:val="none"/>
                <w:lang w:eastAsia="zh-CN"/>
              </w:rPr>
              <w:t>招商</w:t>
            </w:r>
            <w:r>
              <w:rPr>
                <w:rFonts w:ascii="宋体" w:hAnsi="宋体" w:cstheme="minorEastAsia" w:hint="eastAsia"/>
                <w:color w:val="auto"/>
                <w:szCs w:val="21"/>
                <w:highlight w:val="none"/>
              </w:rPr>
              <w:t>标段的装修方案及效果图</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本项目特色服务</w:t>
            </w:r>
          </w:p>
        </w:tc>
        <w:tc>
          <w:tcPr>
            <w:tcW w:w="2306"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向旅客提供特色服务</w:t>
            </w:r>
            <w:r>
              <w:rPr>
                <w:rFonts w:ascii="宋体" w:hAnsi="宋体" w:cs="宋体" w:hint="eastAsia"/>
                <w:color w:val="auto"/>
                <w:szCs w:val="21"/>
                <w:highlight w:val="none"/>
                <w:lang w:val="en-US" w:eastAsia="zh-CN"/>
              </w:rPr>
              <w:t>承诺书</w:t>
            </w:r>
          </w:p>
        </w:tc>
        <w:tc>
          <w:tcPr>
            <w:tcW w:w="1704"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管理制度</w:t>
            </w:r>
          </w:p>
        </w:tc>
        <w:tc>
          <w:tcPr>
            <w:tcW w:w="2306" w:type="dxa"/>
            <w:vAlign w:val="center"/>
          </w:tcPr>
          <w:p>
            <w:pPr>
              <w:pStyle w:val="11"/>
              <w:spacing w:line="360" w:lineRule="auto"/>
              <w:ind w:firstLine="0"/>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.1卫生保洁制度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.2卫生知识培训制度和从业人员健康检查制度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.3卫生安全责任检查和追究制度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.4库房管理制度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.5食品进货查验记录制度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.6进出库台账制度、食品安全事故处理制度和报告制度等</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.7食品中毒应急预案</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26"/>
        </w:trPr>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.8食品生产单位提供食品出厂检验记录制度、食品生产过程安全管理情况记录等相关制度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.9日常管理制度（含投诉处理制度）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.10品控制度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pStyle w:val="a"/>
              <w:spacing w:line="360" w:lineRule="auto"/>
              <w:jc w:val="both"/>
              <w:rPr>
                <w:rFonts w:ascii="宋体" w:hAnsi="宋体" w:cstheme="minorEastAsia"/>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.11餐厨垃圾、废弃油脂管理制度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06" w:type="dxa"/>
            <w:vAlign w:val="center"/>
          </w:tcPr>
          <w:p>
            <w:pPr>
              <w:pStyle w:val="a"/>
              <w:spacing w:line="360" w:lineRule="auto"/>
              <w:jc w:val="both"/>
              <w:rPr>
                <w:rFonts w:ascii="宋体" w:hAnsi="宋体" w:cstheme="minorEastAsia"/>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.12设施设备管理制度（含清洗、消毒、维护制度）</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5</w:t>
            </w:r>
            <w:r>
              <w:rPr>
                <w:rFonts w:ascii="宋体" w:hAnsi="宋体" w:cstheme="minorEastAsia" w:hint="eastAsia"/>
                <w:color w:val="auto"/>
                <w:szCs w:val="21"/>
                <w:highlight w:val="none"/>
              </w:rPr>
              <w:t>本项目运营方案</w:t>
            </w: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本项目运营方案包括但不限于产品构成、人均消费、销售预测等信息</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restart"/>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5.</w:t>
            </w:r>
            <w:r>
              <w:rPr>
                <w:rFonts w:ascii="宋体" w:hAnsi="宋体" w:cstheme="minorEastAsia" w:hint="eastAsia"/>
                <w:color w:val="auto"/>
                <w:szCs w:val="21"/>
                <w:highlight w:val="none"/>
              </w:rPr>
              <w:t>品牌情况</w:t>
            </w:r>
          </w:p>
          <w:p>
            <w:pPr>
              <w:spacing w:line="360" w:lineRule="auto"/>
              <w:jc w:val="left"/>
              <w:rPr>
                <w:rFonts w:ascii="宋体" w:hAnsi="宋体"/>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5.1品牌介绍</w:t>
            </w:r>
          </w:p>
        </w:tc>
        <w:tc>
          <w:tcPr>
            <w:tcW w:w="2306" w:type="dxa"/>
            <w:vAlign w:val="center"/>
          </w:tcPr>
          <w:p>
            <w:pPr>
              <w:spacing w:line="360" w:lineRule="auto"/>
              <w:rPr>
                <w:rFonts w:ascii="宋体" w:hAnsi="宋体" w:cstheme="minorEastAsia"/>
                <w:color w:val="auto"/>
                <w:szCs w:val="21"/>
                <w:highlight w:val="none"/>
              </w:rPr>
            </w:pPr>
            <w:r>
              <w:rPr>
                <w:rFonts w:asciiTheme="minorEastAsia" w:eastAsiaTheme="minorEastAsia" w:hAnsiTheme="minorEastAsia" w:cs="宋体" w:hint="eastAsia"/>
                <w:color w:val="auto"/>
                <w:szCs w:val="21"/>
                <w:highlight w:val="none"/>
              </w:rPr>
              <w:t>品牌的介绍资料，</w:t>
            </w:r>
            <w:r>
              <w:rPr>
                <w:rFonts w:asciiTheme="minorEastAsia" w:eastAsiaTheme="minorEastAsia" w:hAnsiTheme="minorEastAsia" w:cs="宋体" w:hint="eastAsia"/>
                <w:color w:val="auto"/>
                <w:szCs w:val="21"/>
                <w:highlight w:val="none"/>
                <w:lang w:eastAsia="zh-CN"/>
              </w:rPr>
              <w:t>应答</w:t>
            </w:r>
            <w:r>
              <w:rPr>
                <w:rFonts w:asciiTheme="minorEastAsia" w:eastAsiaTheme="minorEastAsia" w:hAnsiTheme="minorEastAsia" w:cs="宋体" w:hint="eastAsia"/>
                <w:color w:val="auto"/>
                <w:szCs w:val="21"/>
                <w:highlight w:val="none"/>
              </w:rPr>
              <w:t>时须提供品牌定位证明资料，包括但不限于入驻当地机场或购物中心、热门商业街区及名称，产品价格，品牌介绍，大众点评截图等。</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44"/>
        </w:trPr>
        <w:tc>
          <w:tcPr>
            <w:tcW w:w="1288" w:type="dxa"/>
            <w:vMerge/>
            <w:vAlign w:val="center"/>
          </w:tcPr>
          <w:p>
            <w:pPr>
              <w:spacing w:line="360" w:lineRule="auto"/>
              <w:rPr>
                <w:rFonts w:ascii="宋体" w:hAnsi="宋体"/>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5.2</w:t>
            </w:r>
            <w:r>
              <w:rPr>
                <w:rFonts w:ascii="宋体" w:hAnsi="宋体" w:cs="宋体" w:hint="eastAsia"/>
                <w:color w:val="auto"/>
                <w:szCs w:val="21"/>
                <w:highlight w:val="none"/>
              </w:rPr>
              <w:t>品牌权益证明</w:t>
            </w:r>
          </w:p>
        </w:tc>
        <w:tc>
          <w:tcPr>
            <w:tcW w:w="2306"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品牌的商标注册证及授权书</w:t>
            </w:r>
          </w:p>
        </w:tc>
        <w:tc>
          <w:tcPr>
            <w:tcW w:w="1704"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经营多个品牌，需要分别提供品牌资料、注册证及授权书，并加盖单位公章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6"/>
        </w:trPr>
        <w:tc>
          <w:tcPr>
            <w:tcW w:w="1288" w:type="dxa"/>
            <w:vMerge/>
            <w:vAlign w:val="center"/>
          </w:tcPr>
          <w:p>
            <w:pPr>
              <w:spacing w:line="360" w:lineRule="auto"/>
              <w:rPr>
                <w:rFonts w:ascii="宋体" w:hAnsi="宋体"/>
                <w:color w:val="auto"/>
                <w:szCs w:val="21"/>
                <w:highlight w:val="none"/>
              </w:rPr>
            </w:pPr>
          </w:p>
        </w:tc>
        <w:tc>
          <w:tcPr>
            <w:tcW w:w="1517" w:type="dxa"/>
            <w:vAlign w:val="center"/>
          </w:tcPr>
          <w:p>
            <w:pPr>
              <w:spacing w:line="360" w:lineRule="auto"/>
              <w:jc w:val="center"/>
              <w:rPr>
                <w:rFonts w:ascii="宋体" w:eastAsia="宋体" w:hAnsi="宋体" w:cstheme="minorEastAsia" w:hint="eastAsia"/>
                <w:color w:val="auto"/>
                <w:szCs w:val="21"/>
                <w:highlight w:val="none"/>
                <w:lang w:eastAsia="zh-CN"/>
              </w:rPr>
            </w:pPr>
            <w:r>
              <w:rPr>
                <w:rFonts w:ascii="宋体" w:hAnsi="宋体" w:cstheme="minorEastAsia" w:hint="eastAsia"/>
                <w:color w:val="auto"/>
                <w:szCs w:val="21"/>
                <w:highlight w:val="none"/>
              </w:rPr>
              <w:t>5.3品牌在国内城市</w:t>
            </w:r>
            <w:r>
              <w:rPr>
                <w:rFonts w:ascii="宋体" w:hAnsi="宋体" w:cstheme="minorEastAsia" w:hint="eastAsia"/>
                <w:color w:val="auto"/>
                <w:szCs w:val="21"/>
                <w:highlight w:val="none"/>
                <w:lang w:eastAsia="zh-CN"/>
              </w:rPr>
              <w:t>布局情况</w:t>
            </w:r>
          </w:p>
        </w:tc>
        <w:tc>
          <w:tcPr>
            <w:tcW w:w="2306"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投报品牌在国内城市</w:t>
            </w:r>
            <w:r>
              <w:rPr>
                <w:rFonts w:ascii="宋体" w:hAnsi="宋体" w:cstheme="minorEastAsia" w:hint="eastAsia"/>
                <w:color w:val="auto"/>
                <w:szCs w:val="21"/>
                <w:highlight w:val="none"/>
                <w:lang w:eastAsia="zh-CN"/>
              </w:rPr>
              <w:t>布局</w:t>
            </w:r>
            <w:r>
              <w:rPr>
                <w:rFonts w:ascii="宋体" w:hAnsi="宋体" w:cstheme="minorEastAsia" w:hint="eastAsia"/>
                <w:color w:val="auto"/>
                <w:szCs w:val="21"/>
                <w:highlight w:val="none"/>
              </w:rPr>
              <w:t>数量的承诺函</w:t>
            </w:r>
          </w:p>
        </w:tc>
        <w:tc>
          <w:tcPr>
            <w:tcW w:w="1704"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6"/>
        </w:trPr>
        <w:tc>
          <w:tcPr>
            <w:tcW w:w="1288" w:type="dxa"/>
            <w:vMerge/>
            <w:vAlign w:val="center"/>
          </w:tcPr>
          <w:p>
            <w:pPr>
              <w:spacing w:line="360" w:lineRule="auto"/>
              <w:rPr>
                <w:rFonts w:ascii="宋体" w:hAnsi="宋体"/>
                <w:color w:val="auto"/>
                <w:szCs w:val="21"/>
                <w:highlight w:val="none"/>
              </w:rPr>
            </w:pPr>
          </w:p>
        </w:tc>
        <w:tc>
          <w:tcPr>
            <w:tcW w:w="1517" w:type="dxa"/>
            <w:vAlign w:val="center"/>
          </w:tcPr>
          <w:p>
            <w:pPr>
              <w:spacing w:line="360" w:lineRule="auto"/>
              <w:jc w:val="center"/>
              <w:rPr>
                <w:rFonts w:ascii="宋体" w:hAnsi="宋体" w:cstheme="minorEastAsia"/>
                <w:color w:val="auto"/>
                <w:szCs w:val="21"/>
                <w:highlight w:val="none"/>
              </w:rPr>
            </w:pPr>
            <w:r>
              <w:rPr>
                <w:rFonts w:asciiTheme="minorEastAsia" w:eastAsiaTheme="minorEastAsia" w:hAnsiTheme="minorEastAsia" w:cs="宋体" w:hint="eastAsia"/>
                <w:color w:val="auto"/>
                <w:szCs w:val="21"/>
                <w:highlight w:val="none"/>
              </w:rPr>
              <w:t>5.4品牌坪效</w:t>
            </w:r>
          </w:p>
        </w:tc>
        <w:tc>
          <w:tcPr>
            <w:tcW w:w="2306"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lang w:val="en-US" w:eastAsia="zh-CN"/>
              </w:rPr>
              <w:t>2023年</w:t>
            </w:r>
            <w:r>
              <w:rPr>
                <w:rFonts w:ascii="宋体" w:hAnsi="宋体" w:cs="宋体" w:hint="eastAsia"/>
                <w:color w:val="auto"/>
                <w:szCs w:val="21"/>
                <w:highlight w:val="none"/>
              </w:rPr>
              <w:t>品牌单店销售额坪效证明材料</w:t>
            </w:r>
          </w:p>
        </w:tc>
        <w:tc>
          <w:tcPr>
            <w:tcW w:w="1704"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提供场地出租方或商业综合体等第三方盖章的证明材料</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6.</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认为</w:t>
            </w:r>
            <w:r>
              <w:rPr>
                <w:rFonts w:ascii="宋体" w:hAnsi="宋体" w:cs="宋体" w:hint="eastAsia"/>
                <w:color w:val="auto"/>
                <w:szCs w:val="21"/>
                <w:highlight w:val="none"/>
              </w:rPr>
              <w:t>需要</w:t>
            </w:r>
            <w:r>
              <w:rPr>
                <w:rFonts w:ascii="宋体" w:hAnsi="宋体" w:cstheme="minorEastAsia" w:hint="eastAsia"/>
                <w:color w:val="auto"/>
                <w:szCs w:val="21"/>
                <w:highlight w:val="none"/>
              </w:rPr>
              <w:t>提供的其他资料</w:t>
            </w:r>
          </w:p>
        </w:tc>
        <w:tc>
          <w:tcPr>
            <w:tcW w:w="7231" w:type="dxa"/>
            <w:gridSpan w:val="4"/>
            <w:vAlign w:val="center"/>
          </w:tcPr>
          <w:p>
            <w:pPr>
              <w:spacing w:line="360" w:lineRule="auto"/>
              <w:rPr>
                <w:rFonts w:ascii="宋体" w:hAnsi="宋体" w:cstheme="minorEastAsia"/>
                <w:color w:val="auto"/>
                <w:szCs w:val="21"/>
                <w:highlight w:val="none"/>
              </w:rPr>
            </w:pPr>
          </w:p>
        </w:tc>
      </w:tr>
    </w:tbl>
    <w:p>
      <w:pPr>
        <w:spacing w:line="360" w:lineRule="auto"/>
        <w:rPr>
          <w:rFonts w:ascii="宋体" w:hAnsi="宋体" w:cs="宋体"/>
          <w:b/>
          <w:bCs/>
          <w:color w:val="auto"/>
          <w:sz w:val="24"/>
          <w:highlight w:val="none"/>
        </w:rPr>
      </w:pPr>
      <w:r>
        <w:rPr>
          <w:rFonts w:ascii="宋体" w:hAnsi="宋体" w:cs="宋体"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商务方案</w:t>
            </w:r>
          </w:p>
        </w:tc>
        <w:tc>
          <w:tcPr>
            <w:tcW w:w="1320"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月保底经营费用单价</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ign w:val="center"/>
          </w:tcPr>
          <w:p>
            <w:pPr>
              <w:spacing w:line="360" w:lineRule="auto"/>
              <w:rPr>
                <w:rFonts w:ascii="宋体" w:hAnsi="宋体" w:cs="宋体"/>
                <w:color w:val="auto"/>
                <w:szCs w:val="21"/>
                <w:highlight w:val="none"/>
              </w:rPr>
            </w:pPr>
          </w:p>
        </w:tc>
        <w:tc>
          <w:tcPr>
            <w:tcW w:w="1320" w:type="dxa"/>
            <w:vMerge/>
            <w:vAlign w:val="center"/>
          </w:tcPr>
          <w:p>
            <w:pPr>
              <w:spacing w:line="360" w:lineRule="auto"/>
              <w:rPr>
                <w:rFonts w:ascii="宋体" w:hAnsi="宋体" w:cs="宋体"/>
                <w:color w:val="auto"/>
                <w:szCs w:val="21"/>
                <w:highlight w:val="none"/>
              </w:rPr>
            </w:pP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须严格按照以上</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目录表进行编写，如未按要求编写所造成对</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结果的影响，由</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自行承担。</w:t>
      </w: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widowControl/>
        <w:ind w:firstLine="422"/>
        <w:jc w:val="left"/>
        <w:rPr>
          <w:rFonts w:ascii="宋体" w:hAnsi="宋体" w:cs="宋体"/>
          <w:color w:val="auto"/>
          <w:szCs w:val="21"/>
          <w:highlight w:val="none"/>
        </w:rPr>
      </w:pPr>
      <w:r>
        <w:rPr>
          <w:rFonts w:ascii="宋体" w:hAnsi="宋体" w:cs="宋体" w:hint="eastAsia"/>
          <w:b/>
          <w:bCs/>
          <w:color w:val="auto"/>
          <w:szCs w:val="21"/>
          <w:highlight w:val="none"/>
        </w:rPr>
        <w:t>（一）技术方案分册</w:t>
      </w:r>
    </w:p>
    <w:p>
      <w:pPr>
        <w:numPr>
          <w:ilvl w:val="0"/>
          <w:numId w:val="2"/>
        </w:numPr>
        <w:spacing w:line="360" w:lineRule="auto"/>
        <w:ind w:firstLine="422"/>
        <w:jc w:val="left"/>
        <w:outlineLvl w:val="1"/>
        <w:rPr>
          <w:rFonts w:ascii="宋体" w:hAnsi="宋体" w:cs="宋体"/>
          <w:b/>
          <w:bCs/>
          <w:color w:val="auto"/>
          <w:szCs w:val="21"/>
          <w:highlight w:val="none"/>
        </w:rPr>
      </w:pPr>
      <w:bookmarkStart w:id="2" w:name="_Toc21151"/>
      <w:r>
        <w:rPr>
          <w:rFonts w:ascii="宋体" w:hAnsi="宋体" w:cs="宋体" w:hint="eastAsia"/>
          <w:b/>
          <w:bCs/>
          <w:color w:val="auto"/>
          <w:szCs w:val="21"/>
          <w:highlight w:val="none"/>
        </w:rPr>
        <w:t>基本情况</w:t>
      </w:r>
      <w:bookmarkEnd w:id="2"/>
    </w:p>
    <w:p>
      <w:pPr>
        <w:spacing w:line="360" w:lineRule="auto"/>
        <w:ind w:firstLine="420"/>
        <w:jc w:val="left"/>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名称】，遵照</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的条款和条件，递交完全符合</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的关于成都双流国际机场T2航站楼招商标段西式快餐类的</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二、我们确认，我们已仔细阅读并研究了</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，以及补充通知书（若有），我们知道必须放弃对上述文件和资料的所有条款提出含糊不清的问题的权利。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活动而发生的任何费用。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截止日起的九十（90）天。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制定的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六、我们确认，贵方有权利根据</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的有关规定，没收我方的保证金。</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七、我们在此与本合作申请书一并提交的作为</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八、在签署成都双流国际机场《</w:t>
      </w:r>
      <w:r>
        <w:rPr>
          <w:rFonts w:ascii="宋体" w:hAnsi="宋体" w:cs="宋体" w:hint="eastAsia"/>
          <w:color w:val="auto"/>
          <w:szCs w:val="21"/>
          <w:highlight w:val="none"/>
          <w:lang w:eastAsia="zh-CN"/>
        </w:rPr>
        <w:t>候机楼经营合同</w:t>
      </w:r>
      <w:r>
        <w:rPr>
          <w:rFonts w:ascii="宋体" w:hAnsi="宋体" w:cs="宋体" w:hint="eastAsia"/>
          <w:color w:val="auto"/>
          <w:szCs w:val="21"/>
          <w:highlight w:val="none"/>
        </w:rPr>
        <w:t>》及合同附件以前，本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九、我们接受成都双流国际机场《</w:t>
      </w:r>
      <w:r>
        <w:rPr>
          <w:rFonts w:ascii="宋体" w:hAnsi="宋体" w:cs="宋体" w:hint="eastAsia"/>
          <w:color w:val="auto"/>
          <w:szCs w:val="21"/>
          <w:highlight w:val="none"/>
          <w:lang w:eastAsia="zh-CN"/>
        </w:rPr>
        <w:t>候机楼经营合同</w:t>
      </w:r>
      <w:r>
        <w:rPr>
          <w:rFonts w:ascii="宋体" w:hAnsi="宋体" w:cs="宋体" w:hint="eastAsia"/>
          <w:color w:val="auto"/>
          <w:szCs w:val="21"/>
          <w:highlight w:val="none"/>
        </w:rPr>
        <w:t>》及合同附件中的条款和条件，并将严格履行。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十、我们在此保证，本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十一、我们证实，本合作申请书是我方</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联系电话</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或</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授权代表签字：</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pStyle w:val="a"/>
        <w:rPr>
          <w:rFonts w:ascii="宋体" w:hAnsi="宋体" w:cs="宋体"/>
          <w:color w:val="auto"/>
          <w:sz w:val="21"/>
          <w:szCs w:val="21"/>
          <w:highlight w:val="none"/>
        </w:rPr>
      </w:pPr>
      <w:r>
        <w:rPr>
          <w:rFonts w:ascii="宋体" w:hAnsi="宋体" w:cs="宋体" w:hint="eastAsia"/>
          <w:color w:val="auto"/>
          <w:sz w:val="21"/>
          <w:szCs w:val="21"/>
          <w:highlight w:val="none"/>
        </w:rPr>
        <w:t>1.2 企业营业执照副本复印件</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0"/>
        <w:rPr>
          <w:rFonts w:ascii="宋体" w:hAnsi="宋体" w:cs="宋体"/>
          <w:color w:val="auto"/>
          <w:szCs w:val="21"/>
          <w:highlight w:val="none"/>
        </w:rPr>
      </w:pPr>
      <w:r>
        <w:rPr>
          <w:rFonts w:ascii="宋体" w:hAnsi="宋体" w:cs="宋体" w:hint="eastAsia"/>
          <w:bCs/>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商家</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)为我公司授权代表，参与成都双流国际机场T2航站楼招商工作，以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人联系，并处理与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法定代表人签字及盖章：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应答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应答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（需盖鲜章）</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ind w:firstLine="422"/>
        <w:rPr>
          <w:rFonts w:ascii="宋体" w:hAnsi="宋体" w:cs="宋体"/>
          <w:b/>
          <w:bCs/>
          <w:color w:val="auto"/>
          <w:szCs w:val="21"/>
          <w:highlight w:val="none"/>
        </w:rPr>
      </w:pPr>
    </w:p>
    <w:p>
      <w:pPr>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360" w:lineRule="auto"/>
        <w:outlineLvl w:val="1"/>
        <w:rPr>
          <w:rFonts w:ascii="宋体" w:hAnsi="宋体" w:cs="宋体"/>
          <w:b/>
          <w:bCs/>
          <w:color w:val="auto"/>
          <w:szCs w:val="21"/>
          <w:highlight w:val="none"/>
        </w:rPr>
      </w:pPr>
      <w:bookmarkStart w:id="3" w:name="_Toc6905"/>
      <w:r>
        <w:rPr>
          <w:rFonts w:ascii="宋体" w:hAnsi="宋体" w:cs="宋体" w:hint="eastAsia"/>
          <w:b/>
          <w:bCs/>
          <w:color w:val="auto"/>
          <w:szCs w:val="21"/>
          <w:highlight w:val="none"/>
        </w:rPr>
        <w:t>2.综合实力</w:t>
      </w:r>
      <w:bookmarkEnd w:id="3"/>
    </w:p>
    <w:p>
      <w:pPr>
        <w:spacing w:line="360" w:lineRule="auto"/>
        <w:ind w:firstLine="420"/>
        <w:rPr>
          <w:rFonts w:ascii="宋体" w:hAnsi="宋体" w:eastAsiaTheme="minorEastAsia" w:cs="宋体"/>
          <w:color w:val="auto"/>
          <w:szCs w:val="21"/>
          <w:highlight w:val="none"/>
        </w:rPr>
      </w:pPr>
      <w:r>
        <w:rPr>
          <w:rFonts w:ascii="宋体" w:hAnsi="宋体" w:cs="宋体" w:hint="eastAsia"/>
          <w:color w:val="auto"/>
          <w:szCs w:val="21"/>
          <w:highlight w:val="none"/>
        </w:rPr>
        <w:t>2.1</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eastAsia="zh-CN"/>
        </w:rPr>
        <w:t>2020-2023</w:t>
      </w:r>
      <w:r>
        <w:rPr>
          <w:rFonts w:asciiTheme="minorEastAsia" w:eastAsiaTheme="minorEastAsia" w:hAnsiTheme="minorEastAsia" w:cs="宋体" w:hint="eastAsia"/>
          <w:color w:val="auto"/>
          <w:szCs w:val="21"/>
          <w:highlight w:val="none"/>
        </w:rPr>
        <w:t>年中任意连续三年的财务报表原件或复印件；</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2.2 </w:t>
      </w:r>
      <w:r>
        <w:rPr>
          <w:rFonts w:ascii="宋体" w:hAnsi="宋体" w:cs="宋体" w:hint="eastAsia"/>
          <w:color w:val="auto"/>
          <w:szCs w:val="21"/>
          <w:highlight w:val="none"/>
          <w:lang w:eastAsia="zh-CN"/>
        </w:rPr>
        <w:t>2022或2023年</w:t>
      </w:r>
      <w:r>
        <w:rPr>
          <w:rFonts w:ascii="宋体" w:hAnsi="宋体" w:cs="宋体" w:hint="eastAsia"/>
          <w:color w:val="auto"/>
          <w:szCs w:val="21"/>
          <w:highlight w:val="none"/>
        </w:rPr>
        <w:t>度纳税信用等级证明。</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4" w:name="_Toc41558660"/>
      <w:bookmarkStart w:id="5" w:name="_Toc12575"/>
      <w:r>
        <w:rPr>
          <w:rFonts w:ascii="宋体" w:hAnsi="宋体" w:cs="宋体" w:hint="eastAsia"/>
          <w:b/>
          <w:bCs/>
          <w:color w:val="auto"/>
          <w:szCs w:val="21"/>
          <w:highlight w:val="none"/>
        </w:rPr>
        <w:br w:type="page"/>
      </w:r>
    </w:p>
    <w:p>
      <w:pPr>
        <w:spacing w:line="360" w:lineRule="auto"/>
        <w:outlineLvl w:val="1"/>
        <w:rPr>
          <w:rFonts w:ascii="宋体" w:hAnsi="宋体" w:cs="宋体"/>
          <w:b/>
          <w:bCs/>
          <w:color w:val="auto"/>
          <w:szCs w:val="21"/>
          <w:highlight w:val="none"/>
        </w:rPr>
      </w:pPr>
      <w:bookmarkEnd w:id="4"/>
      <w:bookmarkEnd w:id="5"/>
      <w:bookmarkStart w:id="6" w:name="_Toc31979"/>
      <w:r>
        <w:rPr>
          <w:rFonts w:ascii="宋体" w:hAnsi="宋体" w:cs="宋体" w:hint="eastAsia"/>
          <w:b/>
          <w:bCs/>
          <w:color w:val="auto"/>
          <w:szCs w:val="21"/>
          <w:highlight w:val="none"/>
        </w:rPr>
        <w:t>3.经营能力</w:t>
      </w:r>
      <w:bookmarkEnd w:id="6"/>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提供其本身及分子公司在中国年旅客吞吐量</w:t>
      </w: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年期间任意一年1500万人次及港澳台机场的布局情况。</w:t>
      </w:r>
    </w:p>
    <w:p>
      <w:pPr>
        <w:widowControl/>
        <w:spacing w:line="360" w:lineRule="auto"/>
        <w:ind w:firstLine="420"/>
        <w:jc w:val="left"/>
        <w:rPr>
          <w:rFonts w:asciiTheme="minorEastAsia" w:eastAsiaTheme="minorEastAsia" w:hAnsiTheme="minorEastAsia" w:cs="宋体" w:hint="default"/>
          <w:color w:val="auto"/>
          <w:szCs w:val="21"/>
          <w:highlight w:val="none"/>
          <w:lang w:val="en-US"/>
        </w:rPr>
      </w:pP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年期间任意一年1500万人次及以上机场有：北京首都、北京大兴、上海浦东、广州、成都双流、</w:t>
      </w:r>
      <w:r>
        <w:rPr>
          <w:rFonts w:ascii="宋体" w:hAnsi="宋体" w:cs="宋体" w:hint="eastAsia"/>
          <w:color w:val="auto"/>
          <w:kern w:val="0"/>
          <w:szCs w:val="21"/>
          <w:highlight w:val="none"/>
          <w:lang w:val="en-US" w:eastAsia="zh-CN"/>
        </w:rPr>
        <w:t>成都天府、</w:t>
      </w:r>
      <w:r>
        <w:rPr>
          <w:rFonts w:ascii="宋体" w:hAnsi="宋体" w:cs="宋体" w:hint="eastAsia"/>
          <w:color w:val="auto"/>
          <w:kern w:val="0"/>
          <w:szCs w:val="21"/>
          <w:highlight w:val="none"/>
        </w:rPr>
        <w:t>深圳、昆明、西安、上海虹桥、重庆、杭州、南京、郑州、厦门、武汉、长沙、青岛、海口、乌鲁木齐、天津、贵阳、三亚</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长春、大连、沈阳、济南、哈尔滨、兰州。</w:t>
      </w:r>
    </w:p>
    <w:p>
      <w:pPr>
        <w:widowControl/>
        <w:spacing w:line="360" w:lineRule="auto"/>
        <w:ind w:firstLine="420"/>
        <w:jc w:val="left"/>
        <w:rPr>
          <w:rFonts w:asciiTheme="minorEastAsia" w:eastAsiaTheme="minorEastAsia" w:hAnsiTheme="minorEastAsia" w:cs="宋体"/>
          <w:color w:val="auto"/>
          <w:szCs w:val="21"/>
          <w:highlight w:val="none"/>
        </w:rPr>
      </w:pPr>
    </w:p>
    <w:p>
      <w:pPr>
        <w:spacing w:line="360" w:lineRule="auto"/>
        <w:ind w:left="435"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3.1.1布局列表</w:t>
      </w:r>
    </w:p>
    <w:tbl>
      <w:tblPr>
        <w:tblStyle w:val="TableNormal"/>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4"/>
        </w:trPr>
        <w:tc>
          <w:tcPr>
            <w:tcW w:w="94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3123" w:type="dxa"/>
            <w:vAlign w:val="center"/>
          </w:tcPr>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面积(平方米)</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0"/>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若没有机场从业经验，可不提供此方面材料。</w:t>
      </w:r>
    </w:p>
    <w:p>
      <w:pPr>
        <w:pStyle w:val="a"/>
        <w:spacing w:line="360" w:lineRule="auto"/>
        <w:rPr>
          <w:rFonts w:ascii="宋体" w:hAnsi="宋体" w:cs="宋体"/>
          <w:color w:val="auto"/>
          <w:sz w:val="21"/>
          <w:szCs w:val="21"/>
          <w:highlight w:val="none"/>
        </w:rPr>
      </w:pPr>
    </w:p>
    <w:p>
      <w:pPr>
        <w:ind w:firstLine="84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3.1.2布局证明文件，包括但不限于合同复印件或业主方证明。</w:t>
      </w:r>
      <w:r>
        <w:rPr>
          <w:rFonts w:ascii="宋体" w:hAnsi="宋体" w:cs="宋体" w:hint="eastAsia"/>
          <w:color w:val="auto"/>
          <w:szCs w:val="21"/>
          <w:highlight w:val="none"/>
        </w:rPr>
        <w:br w:type="page"/>
      </w:r>
    </w:p>
    <w:p>
      <w:pPr>
        <w:spacing w:line="360" w:lineRule="auto"/>
        <w:rPr>
          <w:color w:val="auto"/>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深圳市区、港澳台</w:t>
      </w:r>
      <w:r>
        <w:rPr>
          <w:rFonts w:ascii="宋体" w:hAnsi="宋体" w:cs="宋体" w:hint="eastAsia"/>
          <w:color w:val="auto"/>
          <w:szCs w:val="21"/>
          <w:highlight w:val="none"/>
        </w:rPr>
        <w:t>的开店经验</w:t>
      </w:r>
    </w:p>
    <w:p>
      <w:pPr>
        <w:spacing w:line="360" w:lineRule="auto"/>
        <w:ind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3.2.1布局列表</w:t>
      </w:r>
      <w:r>
        <w:rPr>
          <w:rFonts w:ascii="宋体" w:hAnsi="宋体" w:cs="宋体" w:hint="eastAsia"/>
          <w:color w:val="auto"/>
          <w:szCs w:val="21"/>
          <w:highlight w:val="none"/>
        </w:rPr>
        <w:t xml:space="preserve">：  </w:t>
      </w:r>
    </w:p>
    <w:tbl>
      <w:tblPr>
        <w:tblStyle w:val="TableNormal"/>
        <w:tblpPr w:leftFromText="180" w:rightFromText="180" w:vertAnchor="text" w:horzAnchor="page" w:tblpX="2431" w:tblpY="306"/>
        <w:tblOverlap w:val="never"/>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ind w:left="435"/>
              <w:jc w:val="center"/>
              <w:rPr>
                <w:rFonts w:ascii="宋体" w:hAnsi="宋体" w:cs="宋体"/>
                <w:color w:val="auto"/>
                <w:szCs w:val="21"/>
                <w:highlight w:val="none"/>
              </w:rPr>
            </w:pPr>
          </w:p>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经营店面</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位置</w:t>
            </w:r>
          </w:p>
        </w:tc>
        <w:tc>
          <w:tcPr>
            <w:tcW w:w="2025"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商圈街道或商业体名称</w:t>
            </w:r>
          </w:p>
        </w:tc>
        <w:tc>
          <w:tcPr>
            <w:tcW w:w="3123" w:type="dxa"/>
            <w:vAlign w:val="center"/>
          </w:tcPr>
          <w:p>
            <w:pPr>
              <w:widowControl/>
              <w:spacing w:line="360" w:lineRule="auto"/>
              <w:jc w:val="center"/>
              <w:rPr>
                <w:rFonts w:ascii="宋体" w:hAnsi="宋体" w:cs="宋体"/>
                <w:color w:val="auto"/>
                <w:szCs w:val="21"/>
                <w:highlight w:val="none"/>
              </w:rPr>
            </w:pP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w:t>
            </w: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(平方米)</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成都宽窄巷子</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成都锦里</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420"/>
        <w:rPr>
          <w:color w:val="auto"/>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若没有市区从业经验，可不提供此方面材料。</w:t>
      </w:r>
    </w:p>
    <w:p>
      <w:pPr>
        <w:pStyle w:val="a"/>
        <w:rPr>
          <w:color w:val="auto"/>
          <w:highlight w:val="none"/>
        </w:rPr>
      </w:pPr>
    </w:p>
    <w:p>
      <w:pPr>
        <w:ind w:firstLine="420"/>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3.2.2布局证明文件，包括但不限于合同复印件或业主方证明。</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3.3</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经营模式</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直营或者授权（加盟）经营的承诺书。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我公司租赁航站楼商业场地（标段号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 面积</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平方米）用于商业经营，现向贵司郑重承诺：品牌直营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加盟或代理经营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rPr>
        <w:t>需盖鲜章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年在国内机场业主方的获奖情况：提供获奖证书（公司级）等证明材料。</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color w:val="auto"/>
          <w:highlight w:val="none"/>
        </w:rPr>
      </w:pPr>
      <w:r>
        <w:rPr>
          <w:color w:val="auto"/>
          <w:highlight w:val="none"/>
        </w:rPr>
        <w:br w:type="page"/>
      </w:r>
    </w:p>
    <w:p>
      <w:pPr>
        <w:spacing w:line="360" w:lineRule="auto"/>
        <w:outlineLvl w:val="1"/>
        <w:rPr>
          <w:rFonts w:ascii="宋体" w:hAnsi="宋体" w:cs="宋体"/>
          <w:b/>
          <w:bCs/>
          <w:color w:val="auto"/>
          <w:szCs w:val="21"/>
          <w:highlight w:val="none"/>
        </w:rPr>
      </w:pPr>
      <w:bookmarkStart w:id="7" w:name="_Toc13064"/>
      <w:bookmarkStart w:id="8" w:name="_Toc9087"/>
      <w:bookmarkStart w:id="9" w:name="_Toc41558662"/>
      <w:bookmarkStart w:id="10" w:name="_Hlk41556141"/>
      <w:r>
        <w:rPr>
          <w:rFonts w:ascii="宋体" w:hAnsi="宋体" w:cs="宋体"/>
          <w:b/>
          <w:bCs/>
          <w:color w:val="auto"/>
          <w:szCs w:val="21"/>
          <w:highlight w:val="none"/>
        </w:rPr>
        <w:t>4</w:t>
      </w:r>
      <w:r>
        <w:rPr>
          <w:rFonts w:ascii="宋体" w:hAnsi="宋体" w:cs="宋体" w:hint="eastAsia"/>
          <w:b/>
          <w:bCs/>
          <w:color w:val="auto"/>
          <w:szCs w:val="21"/>
          <w:highlight w:val="none"/>
        </w:rPr>
        <w:t>.经营方案</w:t>
      </w:r>
      <w:bookmarkEnd w:id="7"/>
    </w:p>
    <w:p>
      <w:pPr>
        <w:pStyle w:val="a"/>
        <w:spacing w:line="360" w:lineRule="auto"/>
        <w:ind w:firstLine="210"/>
        <w:rPr>
          <w:rFonts w:ascii="宋体" w:hAnsi="宋体" w:cs="宋体"/>
          <w:color w:val="auto"/>
          <w:sz w:val="21"/>
          <w:szCs w:val="21"/>
          <w:highlight w:val="none"/>
        </w:rPr>
      </w:pPr>
      <w:r>
        <w:rPr>
          <w:rFonts w:ascii="宋体" w:hAnsi="宋体" w:cs="宋体" w:hint="eastAsia"/>
          <w:color w:val="auto"/>
          <w:sz w:val="21"/>
          <w:szCs w:val="21"/>
          <w:highlight w:val="none"/>
        </w:rPr>
        <w:t>4.1同城同质同价:对标承诺书</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承诺对标成都市中心</w:t>
      </w:r>
      <w:r>
        <w:rPr>
          <w:rFonts w:ascii="宋体" w:hAnsi="宋体" w:cs="宋体" w:hint="eastAsia"/>
          <w:color w:val="auto"/>
          <w:sz w:val="21"/>
          <w:szCs w:val="21"/>
          <w:highlight w:val="none"/>
          <w:lang w:eastAsia="zh-CN"/>
        </w:rPr>
        <w:t>招商</w:t>
      </w:r>
      <w:r>
        <w:rPr>
          <w:rFonts w:ascii="宋体" w:hAnsi="宋体" w:cs="宋体" w:hint="eastAsia"/>
          <w:color w:val="auto"/>
          <w:sz w:val="21"/>
          <w:szCs w:val="21"/>
          <w:highlight w:val="none"/>
        </w:rPr>
        <w:t>人认可的商圈、商业体的对标店铺名称、产品清单及价格。</w:t>
      </w:r>
    </w:p>
    <w:p>
      <w:pPr>
        <w:pStyle w:val="a"/>
        <w:spacing w:line="360" w:lineRule="auto"/>
        <w:ind w:left="420"/>
        <w:rPr>
          <w:rFonts w:ascii="宋体" w:hAnsi="宋体" w:cs="宋体"/>
          <w:color w:val="auto"/>
          <w:sz w:val="21"/>
          <w:szCs w:val="21"/>
          <w:highlight w:val="none"/>
        </w:rPr>
      </w:pPr>
    </w:p>
    <w:p>
      <w:pPr>
        <w:pStyle w:val="a"/>
        <w:spacing w:line="360" w:lineRule="auto"/>
        <w:ind w:left="420"/>
        <w:rPr>
          <w:rFonts w:ascii="宋体" w:hAnsi="宋体" w:cs="宋体"/>
          <w:b/>
          <w:bCs/>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color w:val="auto"/>
          <w:sz w:val="21"/>
          <w:szCs w:val="21"/>
          <w:highlight w:val="none"/>
        </w:rPr>
        <w:t xml:space="preserve">                 </w:t>
      </w:r>
      <w:r>
        <w:rPr>
          <w:rFonts w:ascii="宋体" w:hAnsi="宋体" w:cs="宋体" w:hint="eastAsia"/>
          <w:color w:val="auto"/>
          <w:sz w:val="21"/>
          <w:szCs w:val="21"/>
          <w:highlight w:val="none"/>
        </w:rPr>
        <w:t xml:space="preserve"> </w:t>
      </w: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我公司郑重承诺：</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成都双流国际机场T</w:t>
      </w:r>
      <w:r>
        <w:rPr>
          <w:rFonts w:ascii="宋体" w:hAnsi="宋体" w:cs="宋体"/>
          <w:color w:val="auto"/>
          <w:sz w:val="21"/>
          <w:szCs w:val="21"/>
          <w:highlight w:val="none"/>
        </w:rPr>
        <w:t>2</w:t>
      </w:r>
      <w:r>
        <w:rPr>
          <w:rFonts w:ascii="宋体" w:hAnsi="宋体" w:cs="宋体" w:hint="eastAsia"/>
          <w:color w:val="auto"/>
          <w:sz w:val="21"/>
          <w:szCs w:val="21"/>
          <w:highlight w:val="none"/>
        </w:rPr>
        <w:t>航站楼招商西式快餐类</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标段投报的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品牌与成都市区</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（地址）的相同品牌对标，在此销售的商品质量、规格、价格与对标店铺保持一致（详见附件商品清单）。</w:t>
      </w:r>
    </w:p>
    <w:p>
      <w:pPr>
        <w:pStyle w:val="a"/>
        <w:spacing w:line="360" w:lineRule="auto"/>
        <w:ind w:left="420"/>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若我公司投报的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品牌在成都市区无相同品牌对标，则承诺对标</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省会城市或直辖市</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深圳市区、港澳台</w:t>
      </w:r>
      <w:r>
        <w:rPr>
          <w:rFonts w:ascii="宋体" w:hAnsi="宋体" w:cs="宋体" w:hint="eastAsia"/>
          <w:color w:val="auto"/>
          <w:sz w:val="21"/>
          <w:szCs w:val="21"/>
          <w:highlight w:val="none"/>
        </w:rPr>
        <w:t>）市区</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主流商圈、知名商业综合体</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相同品牌店铺，在此销售的商品质量、规格、价格与对标店铺保持一致（</w:t>
      </w:r>
      <w:r>
        <w:rPr>
          <w:rFonts w:asciiTheme="minorEastAsia" w:eastAsiaTheme="minorEastAsia" w:hAnsiTheme="minorEastAsia" w:cs="宋体" w:hint="eastAsia"/>
          <w:color w:val="auto"/>
          <w:sz w:val="21"/>
          <w:szCs w:val="21"/>
          <w:highlight w:val="none"/>
        </w:rPr>
        <w:t>详见附件商品清单）</w:t>
      </w:r>
      <w:r>
        <w:rPr>
          <w:rFonts w:ascii="宋体" w:hAnsi="宋体" w:cs="宋体" w:hint="eastAsia"/>
          <w:color w:val="auto"/>
          <w:sz w:val="21"/>
          <w:szCs w:val="21"/>
          <w:highlight w:val="none"/>
        </w:rPr>
        <w:t>。</w:t>
      </w:r>
    </w:p>
    <w:p>
      <w:pPr>
        <w:pStyle w:val="a"/>
        <w:spacing w:line="360" w:lineRule="auto"/>
        <w:ind w:left="420"/>
        <w:rPr>
          <w:rFonts w:ascii="宋体" w:hAnsi="宋体" w:cs="宋体"/>
          <w:color w:val="auto"/>
          <w:sz w:val="21"/>
          <w:szCs w:val="21"/>
          <w:highlight w:val="none"/>
          <w:u w:val="single"/>
        </w:rPr>
      </w:pPr>
    </w:p>
    <w:p>
      <w:pPr>
        <w:pStyle w:val="a"/>
        <w:spacing w:line="360" w:lineRule="auto"/>
        <w:ind w:left="420"/>
        <w:rPr>
          <w:rFonts w:ascii="宋体" w:hAnsi="宋体" w:cs="宋体"/>
          <w:color w:val="auto"/>
          <w:sz w:val="21"/>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（需盖鲜章）</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pStyle w:val="a"/>
        <w:spacing w:line="360" w:lineRule="auto"/>
        <w:ind w:firstLine="210"/>
        <w:rPr>
          <w:rFonts w:ascii="宋体" w:hAnsi="宋体" w:cs="宋体"/>
          <w:color w:val="auto"/>
          <w:sz w:val="21"/>
          <w:szCs w:val="21"/>
          <w:highlight w:val="none"/>
        </w:rPr>
      </w:pPr>
    </w:p>
    <w:p>
      <w:pPr>
        <w:spacing w:line="360" w:lineRule="auto"/>
        <w:ind w:firstLine="0"/>
        <w:rPr>
          <w:rFonts w:ascii="宋体" w:hAnsi="宋体" w:cs="宋体"/>
          <w:color w:val="auto"/>
          <w:szCs w:val="21"/>
          <w:highlight w:val="none"/>
        </w:rPr>
      </w:pPr>
      <w:bookmarkStart w:id="11" w:name="_Toc27037"/>
      <w:bookmarkStart w:id="12" w:name="_Toc4063"/>
    </w:p>
    <w:p>
      <w:pPr>
        <w:spacing w:line="360" w:lineRule="auto"/>
        <w:rPr>
          <w:rFonts w:ascii="宋体" w:hAnsi="宋体" w:cs="宋体"/>
          <w:color w:val="auto"/>
          <w:szCs w:val="21"/>
          <w:highlight w:val="none"/>
        </w:rPr>
      </w:pPr>
      <w:r>
        <w:rPr>
          <w:rFonts w:ascii="宋体" w:hAnsi="宋体" w:cs="宋体" w:hint="eastAsia"/>
          <w:color w:val="auto"/>
          <w:szCs w:val="21"/>
          <w:highlight w:val="none"/>
        </w:rPr>
        <w:t>4.2装修方案、效果图</w:t>
      </w:r>
      <w:bookmarkEnd w:id="11"/>
      <w:bookmarkEnd w:id="12"/>
      <w:r>
        <w:rPr>
          <w:rFonts w:ascii="宋体" w:hAnsi="宋体" w:cs="宋体" w:hint="eastAsia"/>
          <w:color w:val="auto"/>
          <w:szCs w:val="21"/>
          <w:highlight w:val="none"/>
        </w:rPr>
        <w:t>：</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品牌统一的装修风格效果图；或者针对</w:t>
      </w:r>
      <w:r>
        <w:rPr>
          <w:rFonts w:ascii="宋体" w:hAnsi="宋体" w:cs="宋体" w:hint="eastAsia"/>
          <w:color w:val="auto"/>
          <w:sz w:val="21"/>
          <w:szCs w:val="21"/>
          <w:highlight w:val="none"/>
          <w:lang w:eastAsia="zh-CN"/>
        </w:rPr>
        <w:t>招商</w:t>
      </w:r>
      <w:r>
        <w:rPr>
          <w:rFonts w:ascii="宋体" w:hAnsi="宋体" w:cs="宋体" w:hint="eastAsia"/>
          <w:color w:val="auto"/>
          <w:sz w:val="21"/>
          <w:szCs w:val="21"/>
          <w:highlight w:val="none"/>
        </w:rPr>
        <w:t>标段的装修方案及效果图。</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ind w:firstLine="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本项目特色服务</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向旅客提供特色服务</w:t>
      </w:r>
      <w:r>
        <w:rPr>
          <w:rFonts w:ascii="宋体" w:hAnsi="宋体" w:cs="宋体" w:hint="eastAsia"/>
          <w:color w:val="auto"/>
          <w:sz w:val="21"/>
          <w:szCs w:val="21"/>
          <w:highlight w:val="none"/>
          <w:lang w:val="en-US" w:eastAsia="zh-CN"/>
        </w:rPr>
        <w:t>承诺书，并加盖单位公章。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管理制度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.1卫生保洁制度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.2卫生知识培训制度和从业人员健康检查制度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.3卫生安全责任检查和追究制度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.4库房管理制度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.5食品进货查验记录制度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.6进出库台账制度、食品安全事故处理制度和报告制度等</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.7食品中毒应急预案</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.8食品生产单位提供食品出厂检验记录制度、食品生产过程安全管理情况记录等相关制度；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.9日常管理制度（含投诉处理制度）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.10品控制度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.11餐厨垃圾、废弃油脂管理制度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.12设施设备管理制度（含清洗、消毒、维护制度）</w:t>
      </w:r>
    </w:p>
    <w:p>
      <w:pPr>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须提供包含但不限于以上的管理制度。</w:t>
      </w:r>
      <w:r>
        <w:rPr>
          <w:rFonts w:ascii="宋体" w:hAnsi="宋体" w:cs="宋体" w:hint="eastAsia"/>
          <w:color w:val="auto"/>
          <w:szCs w:val="21"/>
          <w:highlight w:val="none"/>
        </w:rPr>
        <w:br w:type="page"/>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5</w:t>
      </w:r>
      <w:r>
        <w:rPr>
          <w:rFonts w:ascii="宋体" w:hAnsi="宋体" w:cs="宋体" w:hint="eastAsia"/>
          <w:color w:val="auto"/>
          <w:sz w:val="21"/>
          <w:szCs w:val="21"/>
          <w:highlight w:val="none"/>
        </w:rPr>
        <w:t>本项目运营方案</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运营方案包括但不限于产品构成、人均消费、销售预测等信息。</w:t>
      </w:r>
    </w:p>
    <w:p>
      <w:pPr>
        <w:spacing w:line="360" w:lineRule="auto"/>
        <w:rPr>
          <w:rFonts w:ascii="宋体" w:hAnsi="宋体" w:cs="宋体"/>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numPr>
          <w:ilvl w:val="0"/>
          <w:numId w:val="3"/>
        </w:numPr>
        <w:spacing w:line="360" w:lineRule="auto"/>
        <w:outlineLvl w:val="1"/>
        <w:rPr>
          <w:rFonts w:ascii="宋体" w:hAnsi="宋体" w:cs="宋体"/>
          <w:b/>
          <w:bCs/>
          <w:color w:val="auto"/>
          <w:szCs w:val="21"/>
          <w:highlight w:val="none"/>
        </w:rPr>
      </w:pPr>
      <w:bookmarkStart w:id="13" w:name="_Toc11396"/>
      <w:bookmarkStart w:id="14" w:name="_Toc42594262"/>
      <w:bookmarkStart w:id="15" w:name="_Toc5635"/>
      <w:r>
        <w:rPr>
          <w:rFonts w:ascii="宋体" w:hAnsi="宋体" w:cs="宋体" w:hint="eastAsia"/>
          <w:b/>
          <w:bCs/>
          <w:color w:val="auto"/>
          <w:szCs w:val="21"/>
          <w:highlight w:val="none"/>
        </w:rPr>
        <w:t>品牌</w:t>
      </w:r>
      <w:bookmarkEnd w:id="13"/>
      <w:bookmarkEnd w:id="14"/>
      <w:r>
        <w:rPr>
          <w:rFonts w:ascii="宋体" w:hAnsi="宋体" w:cs="宋体" w:hint="eastAsia"/>
          <w:b/>
          <w:bCs/>
          <w:color w:val="auto"/>
          <w:szCs w:val="21"/>
          <w:highlight w:val="none"/>
        </w:rPr>
        <w:t>情况</w:t>
      </w:r>
      <w:bookmarkEnd w:id="15"/>
    </w:p>
    <w:p>
      <w:pPr>
        <w:spacing w:line="360" w:lineRule="auto"/>
        <w:jc w:val="left"/>
        <w:rPr>
          <w:rFonts w:ascii="宋体" w:hAnsi="宋体" w:cs="宋体"/>
          <w:color w:val="auto"/>
          <w:szCs w:val="21"/>
          <w:highlight w:val="none"/>
        </w:rPr>
      </w:pPr>
      <w:r>
        <w:rPr>
          <w:rFonts w:ascii="宋体" w:hAnsi="宋体" w:cs="宋体" w:hint="eastAsia"/>
          <w:color w:val="auto"/>
          <w:szCs w:val="21"/>
          <w:highlight w:val="none"/>
        </w:rPr>
        <w:t>5.1品牌介绍：包括但不限于品牌档次、针对的客户群、商品价格区间、竞争品牌、在国内机场、省会城市及直辖市知名商圈、商业体开设品牌店的情况等。</w:t>
      </w: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spacing w:line="360" w:lineRule="auto"/>
        <w:rPr>
          <w:rFonts w:ascii="Times New Roman" w:hAnsi="Times New Roman"/>
          <w:color w:val="auto"/>
          <w:kern w:val="0"/>
          <w:sz w:val="24"/>
          <w:szCs w:val="20"/>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5.2品牌权益资质证明：</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pStyle w:val="a"/>
        <w:rPr>
          <w:color w:val="auto"/>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b/>
          <w:color w:val="auto"/>
          <w:szCs w:val="21"/>
          <w:highlight w:val="none"/>
        </w:rPr>
        <w:t xml:space="preserve">             </w:t>
      </w:r>
    </w:p>
    <w:p>
      <w:pPr>
        <w:spacing w:line="360" w:lineRule="auto"/>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本公司</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将</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公司在成都双流国际机场航站楼经营，由该公司参与成都双流国际机场T2航站楼招商标段西式快餐类，并签订经营合同。授权期限自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410"/>
        <w:jc w:val="left"/>
        <w:rPr>
          <w:rFonts w:ascii="宋体" w:hAnsi="宋体" w:cs="宋体"/>
          <w:color w:val="auto"/>
          <w:szCs w:val="21"/>
          <w:highlight w:val="none"/>
        </w:rPr>
      </w:pPr>
      <w:r>
        <w:rPr>
          <w:rFonts w:ascii="宋体" w:hAnsi="宋体" w:cs="宋体" w:hint="eastAsia"/>
          <w:color w:val="auto"/>
          <w:szCs w:val="21"/>
          <w:highlight w:val="none"/>
        </w:rPr>
        <w:t>委托人：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（公司盖章）</w:t>
      </w:r>
    </w:p>
    <w:p>
      <w:pPr>
        <w:spacing w:line="360" w:lineRule="auto"/>
        <w:ind w:firstLine="4410"/>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（公司盖章）</w:t>
      </w:r>
    </w:p>
    <w:p>
      <w:pPr>
        <w:spacing w:line="360" w:lineRule="auto"/>
        <w:ind w:firstLine="4410"/>
        <w:jc w:val="left"/>
        <w:rPr>
          <w:rFonts w:ascii="宋体" w:hAnsi="宋体" w:cs="宋体"/>
          <w:color w:val="auto"/>
          <w:szCs w:val="21"/>
          <w:highlight w:val="none"/>
        </w:rPr>
      </w:pPr>
      <w:r>
        <w:rPr>
          <w:rFonts w:ascii="宋体" w:hAnsi="宋体" w:cs="宋体" w:hint="eastAsia"/>
          <w:color w:val="auto"/>
          <w:szCs w:val="21"/>
          <w:highlight w:val="none"/>
        </w:rPr>
        <w:t>时间：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spacing w:line="360" w:lineRule="auto"/>
        <w:ind w:firstLine="4410"/>
        <w:rPr>
          <w:rFonts w:ascii="宋体" w:hAnsi="宋体" w:cs="宋体"/>
          <w:color w:val="auto"/>
          <w:szCs w:val="21"/>
          <w:highlight w:val="none"/>
        </w:rPr>
      </w:pPr>
    </w:p>
    <w:p>
      <w:pPr>
        <w:spacing w:line="360" w:lineRule="auto"/>
        <w:ind w:firstLine="84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spacing w:line="360" w:lineRule="auto"/>
        <w:rPr>
          <w:rFonts w:ascii="宋体" w:hAnsi="宋体" w:cs="宋体"/>
          <w:color w:val="auto"/>
          <w:szCs w:val="21"/>
          <w:highlight w:val="none"/>
        </w:rPr>
      </w:pPr>
      <w:bookmarkStart w:id="16" w:name="_Toc25810"/>
      <w:r>
        <w:rPr>
          <w:rFonts w:ascii="宋体" w:hAnsi="宋体" w:cs="宋体" w:hint="eastAsia"/>
          <w:color w:val="auto"/>
          <w:szCs w:val="21"/>
          <w:highlight w:val="none"/>
        </w:rPr>
        <w:t>5.3品牌在国内城市</w:t>
      </w:r>
      <w:r>
        <w:rPr>
          <w:rFonts w:ascii="宋体" w:hAnsi="宋体" w:cs="宋体" w:hint="eastAsia"/>
          <w:color w:val="auto"/>
          <w:szCs w:val="21"/>
          <w:highlight w:val="none"/>
          <w:lang w:eastAsia="zh-CN"/>
        </w:rPr>
        <w:t>布局情况</w:t>
      </w:r>
      <w:r>
        <w:rPr>
          <w:rFonts w:ascii="宋体" w:hAnsi="宋体" w:cs="宋体" w:hint="eastAsia"/>
          <w:color w:val="auto"/>
          <w:szCs w:val="21"/>
          <w:highlight w:val="none"/>
        </w:rPr>
        <w:t>：</w:t>
      </w:r>
    </w:p>
    <w:p>
      <w:pPr>
        <w:pStyle w:val="a"/>
        <w:ind w:firstLine="420"/>
        <w:rPr>
          <w:rFonts w:ascii="宋体" w:hAnsi="宋体" w:cs="宋体"/>
          <w:color w:val="auto"/>
          <w:kern w:val="2"/>
          <w:sz w:val="21"/>
          <w:szCs w:val="21"/>
          <w:highlight w:val="none"/>
        </w:rPr>
      </w:pPr>
      <w:bookmarkEnd w:id="16"/>
      <w:r>
        <w:rPr>
          <w:rFonts w:ascii="宋体" w:hAnsi="宋体" w:cs="宋体" w:hint="eastAsia"/>
          <w:color w:val="auto"/>
          <w:kern w:val="2"/>
          <w:sz w:val="21"/>
          <w:szCs w:val="21"/>
          <w:highlight w:val="none"/>
          <w:lang w:eastAsia="zh-CN"/>
        </w:rPr>
        <w:t>商家</w:t>
      </w:r>
      <w:r>
        <w:rPr>
          <w:rFonts w:ascii="宋体" w:hAnsi="宋体" w:cs="宋体" w:hint="eastAsia"/>
          <w:color w:val="auto"/>
          <w:kern w:val="2"/>
          <w:sz w:val="21"/>
          <w:szCs w:val="21"/>
          <w:highlight w:val="none"/>
        </w:rPr>
        <w:t>投报品牌在国内城市</w:t>
      </w:r>
      <w:r>
        <w:rPr>
          <w:rFonts w:ascii="宋体" w:hAnsi="宋体" w:cs="宋体" w:hint="eastAsia"/>
          <w:color w:val="auto"/>
          <w:kern w:val="2"/>
          <w:sz w:val="21"/>
          <w:szCs w:val="21"/>
          <w:highlight w:val="none"/>
          <w:lang w:eastAsia="zh-CN"/>
        </w:rPr>
        <w:t>布局</w:t>
      </w:r>
      <w:r>
        <w:rPr>
          <w:rFonts w:ascii="宋体" w:hAnsi="宋体" w:cs="宋体" w:hint="eastAsia"/>
          <w:color w:val="auto"/>
          <w:kern w:val="2"/>
          <w:sz w:val="21"/>
          <w:szCs w:val="21"/>
          <w:highlight w:val="none"/>
        </w:rPr>
        <w:t>数量的承诺函</w:t>
      </w: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spacing w:line="360" w:lineRule="auto"/>
        <w:rPr>
          <w:rFonts w:ascii="宋体" w:hAnsi="宋体" w:cs="宋体"/>
          <w:color w:val="auto"/>
          <w:szCs w:val="21"/>
          <w:highlight w:val="none"/>
        </w:rPr>
      </w:pPr>
      <w:bookmarkStart w:id="17" w:name="_Toc29334"/>
      <w:bookmarkStart w:id="18" w:name="_Toc24520"/>
    </w:p>
    <w:p>
      <w:pPr>
        <w:spacing w:line="360" w:lineRule="auto"/>
        <w:rPr>
          <w:rFonts w:ascii="宋体" w:hAnsi="宋体" w:cs="宋体"/>
          <w:color w:val="auto"/>
          <w:szCs w:val="21"/>
          <w:highlight w:val="none"/>
        </w:rPr>
      </w:pPr>
      <w:bookmarkEnd w:id="17"/>
      <w:bookmarkEnd w:id="18"/>
      <w:r>
        <w:rPr>
          <w:rFonts w:ascii="宋体" w:hAnsi="宋体" w:cs="宋体"/>
          <w:color w:val="auto"/>
          <w:szCs w:val="21"/>
          <w:highlight w:val="none"/>
        </w:rPr>
        <w:t>5.4</w:t>
      </w:r>
      <w:r>
        <w:rPr>
          <w:rFonts w:ascii="宋体" w:hAnsi="宋体" w:cs="宋体" w:hint="eastAsia"/>
          <w:color w:val="auto"/>
          <w:szCs w:val="21"/>
          <w:highlight w:val="none"/>
        </w:rPr>
        <w:t>品牌坪效证明</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lang w:eastAsia="zh-CN"/>
        </w:rPr>
        <w:t>应答</w:t>
      </w:r>
      <w:r>
        <w:rPr>
          <w:rFonts w:ascii="宋体" w:hAnsi="宋体" w:cs="宋体" w:hint="eastAsia"/>
          <w:color w:val="auto"/>
          <w:sz w:val="21"/>
          <w:szCs w:val="21"/>
          <w:highlight w:val="none"/>
        </w:rPr>
        <w:t>品牌</w:t>
      </w:r>
      <w:r>
        <w:rPr>
          <w:rFonts w:ascii="宋体" w:hAnsi="宋体" w:cs="宋体" w:hint="eastAsia"/>
          <w:color w:val="auto"/>
          <w:sz w:val="21"/>
          <w:szCs w:val="21"/>
          <w:highlight w:val="none"/>
          <w:lang w:val="en-US" w:eastAsia="zh-CN"/>
        </w:rPr>
        <w:t>2023年</w:t>
      </w:r>
      <w:r>
        <w:rPr>
          <w:rFonts w:ascii="宋体" w:hAnsi="宋体" w:cs="宋体" w:hint="eastAsia"/>
          <w:color w:val="auto"/>
          <w:sz w:val="21"/>
          <w:szCs w:val="21"/>
          <w:highlight w:val="none"/>
        </w:rPr>
        <w:t>单店销售额坪效证明材料。由场地出租方或商业综合体等第三方盖章的证明材料。</w:t>
      </w:r>
    </w:p>
    <w:p>
      <w:pPr>
        <w:pStyle w:val="a"/>
        <w:spacing w:line="360" w:lineRule="auto"/>
        <w:ind w:left="675"/>
        <w:rPr>
          <w:rFonts w:ascii="宋体" w:hAnsi="宋体" w:cs="宋体"/>
          <w:color w:val="auto"/>
          <w:sz w:val="21"/>
          <w:szCs w:val="21"/>
          <w:highlight w:val="none"/>
        </w:rPr>
      </w:pPr>
      <w:r>
        <w:rPr>
          <w:rFonts w:ascii="宋体" w:hAnsi="宋体" w:cs="宋体" w:hint="eastAsia"/>
          <w:color w:val="auto"/>
          <w:sz w:val="21"/>
          <w:szCs w:val="21"/>
          <w:highlight w:val="none"/>
        </w:rPr>
        <w:t xml:space="preserve">  </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outlineLvl w:val="1"/>
        <w:rPr>
          <w:rFonts w:ascii="宋体" w:hAnsi="宋体" w:cs="宋体"/>
          <w:b/>
          <w:bCs/>
          <w:color w:val="auto"/>
          <w:szCs w:val="21"/>
          <w:highlight w:val="none"/>
        </w:rPr>
      </w:pPr>
      <w:bookmarkStart w:id="19" w:name="_Toc20875"/>
      <w:bookmarkStart w:id="20" w:name="_Hlk41559286"/>
      <w:bookmarkStart w:id="21" w:name="_Toc42594263"/>
      <w:r>
        <w:rPr>
          <w:rFonts w:ascii="宋体" w:hAnsi="宋体" w:cs="宋体" w:hint="eastAsia"/>
          <w:b/>
          <w:bCs/>
          <w:color w:val="auto"/>
          <w:szCs w:val="21"/>
          <w:highlight w:val="none"/>
        </w:rPr>
        <w:t>6.</w:t>
      </w:r>
      <w:r>
        <w:rPr>
          <w:rFonts w:ascii="宋体" w:hAnsi="宋体" w:cs="宋体" w:hint="eastAsia"/>
          <w:b/>
          <w:bCs/>
          <w:color w:val="auto"/>
          <w:szCs w:val="21"/>
          <w:highlight w:val="none"/>
          <w:lang w:eastAsia="zh-CN"/>
        </w:rPr>
        <w:t>商家</w:t>
      </w:r>
      <w:r>
        <w:rPr>
          <w:rFonts w:ascii="宋体" w:hAnsi="宋体" w:cs="宋体" w:hint="eastAsia"/>
          <w:b/>
          <w:bCs/>
          <w:color w:val="auto"/>
          <w:szCs w:val="21"/>
          <w:highlight w:val="none"/>
        </w:rPr>
        <w:t>认为需要提供的其他资料</w:t>
      </w:r>
      <w:bookmarkEnd w:id="19"/>
      <w:bookmarkEnd w:id="20"/>
      <w:bookmarkEnd w:id="21"/>
    </w:p>
    <w:p>
      <w:pPr>
        <w:pStyle w:val="a"/>
        <w:rPr>
          <w:color w:val="auto"/>
          <w:highlight w:val="none"/>
        </w:rPr>
      </w:pPr>
      <w:bookmarkEnd w:id="8"/>
      <w:bookmarkEnd w:id="9"/>
      <w:bookmarkEnd w:id="10"/>
      <w:r>
        <w:rPr>
          <w:color w:val="auto"/>
          <w:highlight w:val="none"/>
        </w:rPr>
        <w:br w:type="page"/>
      </w:r>
    </w:p>
    <w:p>
      <w:pPr>
        <w:numPr>
          <w:ilvl w:val="0"/>
          <w:numId w:val="4"/>
        </w:numPr>
        <w:spacing w:line="360" w:lineRule="auto"/>
        <w:ind w:firstLine="482"/>
        <w:outlineLvl w:val="1"/>
        <w:rPr>
          <w:rFonts w:ascii="宋体" w:hAnsi="宋体" w:cs="宋体"/>
          <w:b/>
          <w:bCs/>
          <w:color w:val="auto"/>
          <w:sz w:val="24"/>
          <w:highlight w:val="none"/>
        </w:rPr>
      </w:pPr>
      <w:bookmarkStart w:id="22" w:name="_Toc21561"/>
      <w:r>
        <w:rPr>
          <w:rFonts w:ascii="宋体" w:hAnsi="宋体" w:cs="宋体" w:hint="eastAsia"/>
          <w:b/>
          <w:bCs/>
          <w:color w:val="auto"/>
          <w:sz w:val="24"/>
          <w:highlight w:val="none"/>
        </w:rPr>
        <w:t>商务方案分册</w:t>
      </w:r>
      <w:bookmarkEnd w:id="22"/>
    </w:p>
    <w:p>
      <w:pPr>
        <w:spacing w:line="360" w:lineRule="auto"/>
        <w:jc w:val="center"/>
        <w:rPr>
          <w:color w:val="auto"/>
          <w:highlight w:val="none"/>
        </w:rPr>
      </w:pPr>
      <w:r>
        <w:rPr>
          <w:rFonts w:ascii="宋体" w:hAnsi="宋体" w:cs="宋体" w:hint="eastAsia"/>
          <w:color w:val="auto"/>
          <w:szCs w:val="21"/>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bookmarkStart w:id="23" w:name="_GoBack"/>
            <w:bookmarkEnd w:id="23"/>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商家</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 xml:space="preserve">      签约5年，双方无异议顺延2年</w:t>
            </w:r>
            <w:r>
              <w:rPr>
                <w:rFonts w:ascii="宋体" w:hAnsi="宋体" w:cs="宋体" w:hint="eastAsia"/>
                <w:color w:val="auto"/>
                <w:szCs w:val="21"/>
                <w:highlight w:val="none"/>
              </w:rPr>
              <w:t>。</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双流机场T</w:t>
            </w:r>
            <w:r>
              <w:rPr>
                <w:rFonts w:asciiTheme="minorEastAsia" w:eastAsiaTheme="minorEastAsia" w:hAnsiTheme="minorEastAsia" w:cs="宋体"/>
                <w:color w:val="auto"/>
                <w:szCs w:val="21"/>
                <w:highlight w:val="none"/>
              </w:rPr>
              <w: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tcPr>
          <w:p>
            <w:pPr>
              <w:pStyle w:val="a"/>
              <w:spacing w:line="360" w:lineRule="auto"/>
              <w:ind w:firstLine="2520"/>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5"/>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的月保底经营费用随双流国际机场</w:t>
            </w:r>
            <w:r>
              <w:rPr>
                <w:rFonts w:asciiTheme="minorEastAsia" w:eastAsiaTheme="minorEastAsia" w:hAnsiTheme="minorEastAsia" w:cs="宋体" w:hint="eastAsia"/>
                <w:color w:val="auto"/>
                <w:szCs w:val="21"/>
                <w:highlight w:val="none"/>
              </w:rPr>
              <w:t>T</w:t>
            </w:r>
            <w:r>
              <w:rPr>
                <w:rFonts w:asciiTheme="minorEastAsia" w:eastAsiaTheme="minorEastAsia" w:hAnsiTheme="minorEastAsia" w:cs="宋体"/>
                <w:color w:val="auto"/>
                <w:szCs w:val="21"/>
                <w:highlight w:val="none"/>
              </w:rPr>
              <w: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w:t>
            </w:r>
            <w:r>
              <w:rPr>
                <w:rFonts w:ascii="宋体" w:hAnsi="宋体" w:cs="宋体" w:hint="eastAsia"/>
                <w:color w:val="auto"/>
                <w:szCs w:val="21"/>
                <w:highlight w:val="none"/>
              </w:rPr>
              <w:t>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jc w:val="both"/>
        <w:rPr>
          <w:rFonts w:hint="eastAsia"/>
          <w:b/>
          <w:sz w:val="32"/>
          <w:szCs w:val="32"/>
          <w:lang w:val="en-US" w:eastAsia="zh-CN"/>
        </w:rPr>
      </w:pPr>
    </w:p>
    <w:p>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414A75"/>
    <w:multiLevelType w:val="singleLevel"/>
    <w:tmpl w:val="90414A75"/>
    <w:lvl w:ilvl="0">
      <w:start w:val="5"/>
      <w:numFmt w:val="decimal"/>
      <w:lvlText w:val="%1."/>
      <w:lvlJc w:val="left"/>
      <w:pPr>
        <w:tabs>
          <w:tab w:val="left" w:pos="312"/>
        </w:tabs>
      </w:pPr>
    </w:lvl>
  </w:abstractNum>
  <w:abstractNum w:abstractNumId="1">
    <w:nsid w:val="ABD937D8"/>
    <w:multiLevelType w:val="singleLevel"/>
    <w:tmpl w:val="ABD937D8"/>
    <w:lvl w:ilvl="0">
      <w:start w:val="1"/>
      <w:numFmt w:val="decimal"/>
      <w:lvlText w:val="%1."/>
      <w:lvlJc w:val="left"/>
      <w:pPr>
        <w:tabs>
          <w:tab w:val="left" w:pos="312"/>
        </w:tabs>
      </w:p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abstractNum w:abstractNumId="4">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al"/>
    <w:uiPriority w:val="34"/>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2024-04-01T08:24:00Z</dcterms:created>
  <dcterms:modified xsi:type="dcterms:W3CDTF">2024-04-07T09:47:49Z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