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附件1-4：商家资料清单（简餐）</w:t>
      </w:r>
    </w:p>
    <w:p>
      <w:pPr>
        <w:jc w:val="center"/>
        <w:rPr>
          <w:rFonts w:hint="eastAsia"/>
          <w:b/>
          <w:sz w:val="32"/>
          <w:szCs w:val="32"/>
          <w:lang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bCs/>
          <w:sz w:val="32"/>
          <w:szCs w:val="40"/>
          <w:lang w:val="en-US" w:eastAsia="zh-CN"/>
        </w:rPr>
        <w:t>简餐</w:t>
      </w:r>
      <w:r>
        <w:rPr>
          <w:rFonts w:hint="eastAsia"/>
          <w:b/>
          <w:sz w:val="32"/>
          <w:szCs w:val="32"/>
          <w:lang w:eastAsia="zh-CN"/>
        </w:rPr>
        <w:t>）</w:t>
      </w:r>
      <w:bookmarkStart w:id="0" w:name="_GoBack"/>
      <w:bookmarkEnd w:id="0"/>
    </w:p>
    <w:p>
      <w:pPr>
        <w:pStyle w:val="a"/>
        <w:numPr>
          <w:ilvl w:val="0"/>
          <w:numId w:val="1"/>
        </w:numPr>
        <w:spacing w:line="360" w:lineRule="auto"/>
        <w:jc w:val="both"/>
        <w:outlineLvl w:val="1"/>
        <w:rPr>
          <w:rFonts w:ascii="宋体" w:hAnsi="宋体" w:cs="宋体"/>
          <w:b/>
          <w:bCs/>
          <w:color w:val="auto"/>
          <w:highlight w:val="none"/>
        </w:rPr>
      </w:pPr>
      <w:bookmarkStart w:id="1" w:name="_Toc14127"/>
      <w:r>
        <w:rPr>
          <w:rFonts w:ascii="宋体" w:hAnsi="宋体" w:cs="宋体" w:hint="eastAsia"/>
          <w:b/>
          <w:bCs/>
          <w:color w:val="auto"/>
          <w:highlight w:val="none"/>
        </w:rPr>
        <w:t>技术方案分册目录</w:t>
      </w:r>
      <w:bookmarkEnd w:id="1"/>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90"/>
        <w:gridCol w:w="1620"/>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一级目录</w:t>
            </w: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二级目录</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三级目录</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备注</w:t>
            </w:r>
          </w:p>
        </w:tc>
        <w:tc>
          <w:tcPr>
            <w:tcW w:w="1704" w:type="dxa"/>
            <w:vAlign w:val="center"/>
          </w:tcPr>
          <w:p>
            <w:pPr>
              <w:spacing w:line="360" w:lineRule="auto"/>
              <w:ind w:firstLine="210"/>
              <w:rPr>
                <w:rFonts w:ascii="宋体" w:hAnsi="宋体" w:cstheme="minorEastAsia"/>
                <w:color w:val="auto"/>
                <w:szCs w:val="21"/>
                <w:highlight w:val="none"/>
              </w:rPr>
            </w:pPr>
            <w:r>
              <w:rPr>
                <w:rFonts w:ascii="宋体" w:hAnsi="宋体"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1.基本情况</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基本资料及承诺书</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1.1合作申请书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按照合作申请书格式签字并加盖单位公章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1.2企业法人营业执照副本复印件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1.3法人、授权委托人身份证明复印件及授权委托书原件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1.4符合</w:t>
            </w:r>
            <w:r>
              <w:rPr>
                <w:rFonts w:ascii="宋体" w:hAnsi="宋体" w:cstheme="minorEastAsia" w:hint="eastAsia"/>
                <w:color w:val="auto"/>
                <w:szCs w:val="21"/>
                <w:highlight w:val="none"/>
                <w:lang w:val="en-US" w:eastAsia="zh-CN"/>
              </w:rPr>
              <w:t>招商</w:t>
            </w:r>
            <w:r>
              <w:rPr>
                <w:rFonts w:ascii="宋体" w:hAnsi="宋体" w:cstheme="minorEastAsia" w:hint="eastAsia"/>
                <w:color w:val="auto"/>
                <w:szCs w:val="21"/>
                <w:highlight w:val="none"/>
              </w:rPr>
              <w:t>条件承诺书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若</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无</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中不合格</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情形，需要提交承诺书，加盖单位公章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1.5未被列为严重违法失信企业名单（黑名单）截图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须在</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发布后从“国家企业信用信息公示系统”网站（www.gsxt.gov.cn）截图并加盖单位公章。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2.综合实力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综合实力</w:t>
            </w:r>
          </w:p>
        </w:tc>
        <w:tc>
          <w:tcPr>
            <w:tcW w:w="2390" w:type="dxa"/>
            <w:vAlign w:val="center"/>
          </w:tcPr>
          <w:p>
            <w:pPr>
              <w:spacing w:line="360" w:lineRule="auto"/>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其中包括：资产负债表、利润表，加盖单位公章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 xml:space="preserve">2.2 </w:t>
            </w:r>
            <w:r>
              <w:rPr>
                <w:rFonts w:ascii="宋体" w:hAnsi="宋体" w:cstheme="minorEastAsia" w:hint="eastAsia"/>
                <w:color w:val="auto"/>
                <w:szCs w:val="21"/>
                <w:highlight w:val="none"/>
                <w:lang w:eastAsia="zh-CN"/>
              </w:rPr>
              <w:t>2022或2023</w:t>
            </w:r>
            <w:r>
              <w:rPr>
                <w:rFonts w:ascii="宋体" w:hAnsi="宋体" w:cstheme="minorEastAsia" w:hint="eastAsia"/>
                <w:color w:val="auto"/>
                <w:szCs w:val="21"/>
                <w:highlight w:val="none"/>
              </w:rPr>
              <w:t>年度纳税信用等级证明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3.经营能力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及其分子公司在中国年旅客吞吐量</w:t>
            </w:r>
            <w:r>
              <w:rPr>
                <w:rFonts w:ascii="宋体" w:hAnsi="宋体" w:cstheme="minorEastAsia" w:hint="eastAsia"/>
                <w:color w:val="auto"/>
                <w:szCs w:val="21"/>
                <w:highlight w:val="none"/>
                <w:lang w:eastAsia="zh-CN"/>
              </w:rPr>
              <w:t>2021-2023</w:t>
            </w:r>
            <w:r>
              <w:rPr>
                <w:rFonts w:ascii="宋体" w:hAnsi="宋体" w:cstheme="minorEastAsia" w:hint="eastAsia"/>
                <w:color w:val="auto"/>
                <w:szCs w:val="21"/>
                <w:highlight w:val="none"/>
              </w:rPr>
              <w:t>年期间任意一年1500万人次以上及港澳台机场布局情况</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3.1.1布局列表</w:t>
            </w:r>
          </w:p>
        </w:tc>
        <w:tc>
          <w:tcPr>
            <w:tcW w:w="1620" w:type="dxa"/>
            <w:vAlign w:val="center"/>
          </w:tcPr>
          <w:p>
            <w:pPr>
              <w:spacing w:line="360" w:lineRule="auto"/>
              <w:jc w:val="center"/>
              <w:rPr>
                <w:rFonts w:ascii="宋体" w:hAnsi="宋体" w:cstheme="minorEastAsia"/>
                <w:color w:val="auto"/>
                <w:szCs w:val="21"/>
                <w:highlight w:val="none"/>
              </w:rPr>
            </w:pPr>
          </w:p>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3.1.2布局列表的证明文件，包括但不限于合同复印件或业主方证明</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及其分子公司在国内省会城市及直辖市区、深圳市区、港澳台的布局情况</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3.2.1布局列表</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3.2.2布局列表的证明文件，包括但不限于合同复印件或业主方证明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3.3经营模式</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提供品牌直营或授权经营模式的承诺书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0"/>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rPr>
                <w:rFonts w:ascii="宋体" w:hAnsi="宋体"/>
                <w:color w:val="auto"/>
                <w:szCs w:val="21"/>
                <w:highlight w:val="none"/>
              </w:rPr>
            </w:pPr>
            <w:r>
              <w:rPr>
                <w:rFonts w:ascii="宋体" w:hAnsi="宋体" w:cstheme="minorEastAsia" w:hint="eastAsia"/>
                <w:color w:val="auto"/>
                <w:szCs w:val="21"/>
                <w:highlight w:val="none"/>
              </w:rPr>
              <w:t>3.4</w:t>
            </w:r>
            <w:r>
              <w:rPr>
                <w:rFonts w:ascii="宋体" w:hAnsi="宋体" w:hint="eastAsia"/>
                <w:color w:val="auto"/>
                <w:szCs w:val="21"/>
                <w:highlight w:val="none"/>
              </w:rPr>
              <w:t>经营表现</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商家2021-2023</w:t>
            </w:r>
            <w:r>
              <w:rPr>
                <w:rFonts w:ascii="宋体" w:hAnsi="宋体" w:cstheme="minorEastAsia" w:hint="eastAsia"/>
                <w:color w:val="auto"/>
                <w:szCs w:val="21"/>
                <w:highlight w:val="none"/>
              </w:rPr>
              <w:t>年受国内机场业主方的获奖情况（公司级）</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清晰的证书复印件，加盖单位公章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4.经营方案</w:t>
            </w:r>
          </w:p>
        </w:tc>
        <w:tc>
          <w:tcPr>
            <w:tcW w:w="1517"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4.1</w:t>
            </w:r>
            <w:r>
              <w:rPr>
                <w:rFonts w:ascii="宋体" w:hAnsi="宋体" w:cs="宋体" w:hint="eastAsia"/>
                <w:color w:val="auto"/>
                <w:szCs w:val="21"/>
                <w:highlight w:val="none"/>
                <w:lang/>
              </w:rPr>
              <w:t>同城同质同价</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提供对标承诺书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4.2装修方案、效果图</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品牌统一的装修风格效果图；或者</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针对机场招标标段的装修方案及效果图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本项目特色服务</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向旅客提供特色服务承诺书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管理制度</w:t>
            </w:r>
          </w:p>
        </w:tc>
        <w:tc>
          <w:tcPr>
            <w:tcW w:w="2390" w:type="dxa"/>
            <w:vAlign w:val="center"/>
          </w:tcPr>
          <w:p>
            <w:pPr>
              <w:pStyle w:val="11"/>
              <w:spacing w:line="360" w:lineRule="auto"/>
              <w:ind w:firstLine="0"/>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.1卫生保洁制度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.2卫生知识培训制度和从业人员健康检查制度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.3卫生安全责任检查和追究制度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w:t>
            </w:r>
            <w:r>
              <w:rPr>
                <w:rFonts w:ascii="宋体" w:hAnsi="宋体" w:cstheme="minorEastAsia"/>
                <w:color w:val="auto"/>
                <w:szCs w:val="21"/>
                <w:highlight w:val="none"/>
              </w:rPr>
              <w:t>4库房管理制度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.5食品进货查验记录制度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.6进出库台账制度、食品安全事故处理制度和报告制度等</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.7食品中毒应急预案</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26"/>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.8食品生产单位提供食品出厂检验记录制度、食品生产过程安全管理情况记录等相关制度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.9日常管理制度（含投诉处理制度）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4</w:t>
            </w:r>
            <w:r>
              <w:rPr>
                <w:rFonts w:ascii="宋体" w:hAnsi="宋体" w:cstheme="minorEastAsia" w:hint="eastAsia"/>
                <w:color w:val="auto"/>
                <w:szCs w:val="21"/>
                <w:highlight w:val="none"/>
              </w:rPr>
              <w:t>.10品控制度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pStyle w:val="a"/>
              <w:spacing w:line="360" w:lineRule="auto"/>
              <w:jc w:val="both"/>
              <w:rPr>
                <w:rFonts w:ascii="宋体" w:hAnsi="宋体" w:cstheme="minorEastAsia"/>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.11餐厨垃圾、废弃油脂管理制度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pStyle w:val="a"/>
              <w:spacing w:line="360" w:lineRule="auto"/>
              <w:jc w:val="both"/>
              <w:rPr>
                <w:rFonts w:ascii="宋体" w:hAnsi="宋体" w:cstheme="minorEastAsia"/>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.12设施设备管理制度（含清洗、消毒、维护制度）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w:t>
            </w:r>
            <w:r>
              <w:rPr>
                <w:rFonts w:ascii="宋体" w:hAnsi="宋体" w:cstheme="minorEastAsia"/>
                <w:color w:val="auto"/>
                <w:szCs w:val="21"/>
                <w:highlight w:val="none"/>
              </w:rPr>
              <w:t>5</w:t>
            </w:r>
            <w:r>
              <w:rPr>
                <w:rFonts w:ascii="宋体" w:hAnsi="宋体" w:cstheme="minorEastAsia" w:hint="eastAsia"/>
                <w:color w:val="auto"/>
                <w:szCs w:val="21"/>
                <w:highlight w:val="none"/>
              </w:rPr>
              <w:t>本项目运营方案</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本项目运营方案包括但不限于产品构成、人均消费、销售预测等信息</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5.</w:t>
            </w:r>
            <w:r>
              <w:rPr>
                <w:rFonts w:ascii="宋体" w:hAnsi="宋体" w:cstheme="minorEastAsia" w:hint="eastAsia"/>
                <w:color w:val="auto"/>
                <w:szCs w:val="21"/>
                <w:highlight w:val="none"/>
              </w:rPr>
              <w:t>品牌情况</w:t>
            </w:r>
          </w:p>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5.1品牌介绍</w:t>
            </w:r>
          </w:p>
        </w:tc>
        <w:tc>
          <w:tcPr>
            <w:tcW w:w="2390" w:type="dxa"/>
            <w:vAlign w:val="center"/>
          </w:tcPr>
          <w:p>
            <w:pPr>
              <w:spacing w:line="360" w:lineRule="auto"/>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品牌的介绍资料，投标时须提供品牌定位证明资料，包括但不限于入驻当地机场或购物中心、热门商业街区及名称，产品价格，品牌介绍，大众点评截图等。</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44"/>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5.2</w:t>
            </w:r>
            <w:r>
              <w:rPr>
                <w:rFonts w:ascii="宋体" w:hAnsi="宋体" w:cs="宋体" w:hint="eastAsia"/>
                <w:color w:val="auto"/>
                <w:szCs w:val="21"/>
                <w:highlight w:val="none"/>
              </w:rPr>
              <w:t>品牌权益证明</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品牌的商标注册证及授权书</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6"/>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jc w:val="center"/>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5.</w:t>
            </w:r>
            <w:r>
              <w:rPr>
                <w:rFonts w:asciiTheme="minorEastAsia" w:eastAsiaTheme="minorEastAsia" w:hAnsiTheme="minorEastAsia" w:cs="宋体"/>
                <w:color w:val="auto"/>
                <w:szCs w:val="21"/>
                <w:highlight w:val="none"/>
              </w:rPr>
              <w:t>3</w:t>
            </w:r>
            <w:r>
              <w:rPr>
                <w:rFonts w:asciiTheme="minorEastAsia" w:eastAsiaTheme="minorEastAsia" w:hAnsiTheme="minorEastAsia" w:cs="宋体" w:hint="eastAsia"/>
                <w:color w:val="auto"/>
                <w:szCs w:val="21"/>
                <w:highlight w:val="none"/>
              </w:rPr>
              <w:t>品牌坪效</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年品牌单店销售额坪效（单店年销售额/该单店面积所占平方米数）证明材料</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提供场地出租方或商业综合体等第三方盖章的证明材料</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44"/>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5.</w:t>
            </w:r>
            <w:r>
              <w:rPr>
                <w:rFonts w:ascii="宋体" w:hAnsi="宋体" w:cstheme="minorEastAsia"/>
                <w:color w:val="auto"/>
                <w:szCs w:val="21"/>
                <w:highlight w:val="none"/>
              </w:rPr>
              <w:t>4</w:t>
            </w:r>
            <w:r>
              <w:rPr>
                <w:rFonts w:ascii="宋体" w:hAnsi="宋体" w:cstheme="minorEastAsia" w:hint="eastAsia"/>
                <w:color w:val="auto"/>
                <w:szCs w:val="21"/>
                <w:highlight w:val="none"/>
              </w:rPr>
              <w:t>大众点评得分</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投标时须提供在成都主城区（锦江区、武侯区、青羊区、金牛区、成华区、高新区、天府新区）任意一店大众点评得分</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大众点评截图并加盖公章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44"/>
        </w:trPr>
        <w:tc>
          <w:tcPr>
            <w:tcW w:w="1288" w:type="dxa"/>
            <w:vAlign w:val="center"/>
          </w:tcPr>
          <w:p>
            <w:pPr>
              <w:spacing w:line="360" w:lineRule="auto"/>
              <w:rPr>
                <w:rFonts w:ascii="宋体" w:hAnsi="宋体"/>
                <w:color w:val="auto"/>
                <w:szCs w:val="21"/>
                <w:highlight w:val="none"/>
              </w:rPr>
            </w:pPr>
            <w:r>
              <w:rPr>
                <w:rFonts w:ascii="宋体" w:hAnsi="宋体" w:hint="eastAsia"/>
                <w:color w:val="auto"/>
                <w:szCs w:val="21"/>
                <w:highlight w:val="none"/>
              </w:rPr>
              <w:t>6.品牌定位</w:t>
            </w:r>
          </w:p>
        </w:tc>
        <w:tc>
          <w:tcPr>
            <w:tcW w:w="1517"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品牌定位</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投标时须提供任意一店大众点评截图等品牌定位证明资料，包括但不限于入驻的城市购物中心名称、人均价格、大众点评得分、菜品、评价。</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大众点评截图并加盖公章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color w:val="auto"/>
                <w:szCs w:val="21"/>
                <w:highlight w:val="none"/>
              </w:rPr>
              <w:t>7</w:t>
            </w:r>
            <w:r>
              <w:rPr>
                <w:rFonts w:ascii="宋体" w:hAnsi="宋体" w:cstheme="minorEastAsia" w:hint="eastAsia"/>
                <w:color w:val="auto"/>
                <w:szCs w:val="21"/>
                <w:highlight w:val="none"/>
              </w:rPr>
              <w:t>.</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认为</w:t>
            </w:r>
            <w:r>
              <w:rPr>
                <w:rFonts w:ascii="宋体" w:hAnsi="宋体" w:cs="宋体" w:hint="eastAsia"/>
                <w:color w:val="auto"/>
                <w:szCs w:val="21"/>
                <w:highlight w:val="none"/>
              </w:rPr>
              <w:t>需要</w:t>
            </w:r>
            <w:r>
              <w:rPr>
                <w:rFonts w:ascii="宋体" w:hAnsi="宋体" w:cstheme="minorEastAsia" w:hint="eastAsia"/>
                <w:color w:val="auto"/>
                <w:szCs w:val="21"/>
                <w:highlight w:val="none"/>
              </w:rPr>
              <w:t>提供的其他资料</w:t>
            </w:r>
          </w:p>
        </w:tc>
        <w:tc>
          <w:tcPr>
            <w:tcW w:w="7231" w:type="dxa"/>
            <w:gridSpan w:val="4"/>
            <w:vAlign w:val="center"/>
          </w:tcPr>
          <w:p>
            <w:pPr>
              <w:spacing w:line="360" w:lineRule="auto"/>
              <w:rPr>
                <w:rFonts w:ascii="宋体" w:hAnsi="宋体" w:cstheme="minorEastAsia"/>
                <w:color w:val="auto"/>
                <w:szCs w:val="21"/>
                <w:highlight w:val="none"/>
              </w:rPr>
            </w:pPr>
          </w:p>
        </w:tc>
      </w:tr>
    </w:tbl>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招商公告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招商公告</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目录表进行编写，如未按要求编写所造成对</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1"/>
        <w:rPr>
          <w:rFonts w:ascii="宋体" w:hAnsi="宋体" w:cs="宋体"/>
          <w:b/>
          <w:bCs/>
          <w:color w:val="auto"/>
          <w:szCs w:val="21"/>
          <w:highlight w:val="none"/>
        </w:rPr>
      </w:pPr>
      <w:bookmarkStart w:id="2" w:name="_Toc7524"/>
      <w:r>
        <w:rPr>
          <w:rFonts w:ascii="宋体" w:hAnsi="宋体" w:cs="宋体" w:hint="eastAsia"/>
          <w:b/>
          <w:bCs/>
          <w:color w:val="auto"/>
          <w:szCs w:val="21"/>
          <w:highlight w:val="none"/>
        </w:rPr>
        <w:t>基本情况</w:t>
      </w:r>
      <w:bookmarkEnd w:id="2"/>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的关于成都双流国际机场T2航站楼招商标段餐饮类的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，以及补充通知书（若有），我们知道必须放弃对上述文件和资料的所有条款提出含糊不清的问题的权利。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三、我们确认，我们将自行承担因参加本项目的招标活动而发生的任何费用。</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截止日起的九十（90）天。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制定的招标规则，并承诺按照这些规则履行我们的所有义务，包括：一旦</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六、我们确认，贵方有权利根据</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的有关规定，没收我方的保证金。</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七、我们在此与本合作申请书一并提交的作为</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八、在签署成都双流国际机场《候机楼经营合同》及合同附件以前，本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中的陈述、品牌授权书、财务报表等资料的完整性、准确性、真实性完全负责。与本招标有关的正式通讯地址：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)为我公司授权代表，参与成都双流国际机场T2航站楼招商工作，以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招商应答文件</w:t>
      </w:r>
      <w:r>
        <w:rPr>
          <w:rFonts w:ascii="宋体" w:hAnsi="宋体" w:cs="宋体" w:hint="eastAsia"/>
          <w:color w:val="auto"/>
          <w:szCs w:val="21"/>
          <w:highlight w:val="none"/>
        </w:rPr>
        <w:t>、与招标人联系，并处理与招标有关的一切事务。授权期限自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符合投标条件承诺书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符合投标条件承诺书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1"/>
        <w:rPr>
          <w:rFonts w:ascii="宋体" w:hAnsi="宋体" w:cs="宋体"/>
          <w:b/>
          <w:bCs/>
          <w:color w:val="auto"/>
          <w:szCs w:val="21"/>
          <w:highlight w:val="none"/>
        </w:rPr>
      </w:pPr>
      <w:bookmarkStart w:id="3" w:name="_Toc11129"/>
      <w:r>
        <w:rPr>
          <w:rFonts w:ascii="宋体" w:hAnsi="宋体" w:cs="宋体" w:hint="eastAsia"/>
          <w:b/>
          <w:bCs/>
          <w:color w:val="auto"/>
          <w:szCs w:val="21"/>
          <w:highlight w:val="none"/>
        </w:rPr>
        <w:t>2.综合实力</w:t>
      </w:r>
      <w:bookmarkEnd w:id="3"/>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eastAsia="zh-CN"/>
        </w:rPr>
        <w:t>2020-2023</w:t>
      </w:r>
      <w:r>
        <w:rPr>
          <w:rFonts w:asciiTheme="minorEastAsia" w:eastAsiaTheme="minorEastAsia" w:hAnsiTheme="minorEastAsia" w:cs="宋体" w:hint="eastAsia"/>
          <w:color w:val="auto"/>
          <w:szCs w:val="21"/>
          <w:highlight w:val="none"/>
        </w:rPr>
        <w:t>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w:t>
      </w:r>
      <w:r>
        <w:rPr>
          <w:rFonts w:ascii="宋体" w:hAnsi="宋体" w:cs="宋体" w:hint="eastAsia"/>
          <w:color w:val="auto"/>
          <w:szCs w:val="21"/>
          <w:highlight w:val="none"/>
        </w:rPr>
        <w:t>年度纳税信用等级证明。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4" w:name="_Toc12575"/>
      <w:bookmarkStart w:id="5" w:name="_Toc41558660"/>
      <w:r>
        <w:rPr>
          <w:rFonts w:ascii="宋体" w:hAnsi="宋体" w:cs="宋体" w:hint="eastAsia"/>
          <w:b/>
          <w:bCs/>
          <w:color w:val="auto"/>
          <w:szCs w:val="21"/>
          <w:highlight w:val="none"/>
        </w:rPr>
        <w:br w:type="page"/>
      </w:r>
      <w:bookmarkEnd w:id="4"/>
      <w:bookmarkEnd w:id="5"/>
    </w:p>
    <w:p>
      <w:pPr>
        <w:spacing w:line="360" w:lineRule="auto"/>
        <w:outlineLvl w:val="1"/>
        <w:rPr>
          <w:rFonts w:ascii="宋体" w:hAnsi="宋体" w:cs="宋体"/>
          <w:b/>
          <w:bCs/>
          <w:color w:val="auto"/>
          <w:szCs w:val="21"/>
          <w:highlight w:val="none"/>
        </w:rPr>
      </w:pPr>
      <w:bookmarkStart w:id="6" w:name="_Toc13202"/>
      <w:r>
        <w:rPr>
          <w:rFonts w:ascii="宋体" w:hAnsi="宋体" w:cs="宋体" w:hint="eastAsia"/>
          <w:b/>
          <w:bCs/>
          <w:color w:val="auto"/>
          <w:szCs w:val="21"/>
          <w:highlight w:val="none"/>
        </w:rPr>
        <w:t>3.经营能力</w:t>
      </w:r>
      <w:bookmarkEnd w:id="6"/>
    </w:p>
    <w:p>
      <w:pPr>
        <w:widowControl/>
        <w:spacing w:line="360" w:lineRule="auto"/>
        <w:ind w:firstLine="420"/>
        <w:jc w:val="left"/>
        <w:rPr>
          <w:rFonts w:ascii="宋体" w:hAnsi="宋体" w:cs="宋体"/>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年期间任意一年1500万人次机场</w:t>
      </w:r>
      <w:r>
        <w:rPr>
          <w:rFonts w:ascii="宋体" w:hAnsi="宋体" w:cs="宋体" w:hint="eastAsia"/>
          <w:color w:val="auto"/>
          <w:kern w:val="0"/>
          <w:szCs w:val="21"/>
          <w:highlight w:val="none"/>
          <w:lang w:val="en-US" w:eastAsia="zh-CN"/>
        </w:rPr>
        <w:t>及</w:t>
      </w:r>
      <w:r>
        <w:rPr>
          <w:rFonts w:ascii="宋体" w:hAnsi="宋体" w:cs="宋体" w:hint="eastAsia"/>
          <w:color w:val="auto"/>
          <w:kern w:val="0"/>
          <w:szCs w:val="21"/>
          <w:highlight w:val="none"/>
        </w:rPr>
        <w:t>港澳台机场的布局情况。</w:t>
      </w:r>
    </w:p>
    <w:p>
      <w:pPr>
        <w:widowControl/>
        <w:spacing w:line="360" w:lineRule="auto"/>
        <w:ind w:firstLine="420"/>
        <w:jc w:val="left"/>
        <w:rPr>
          <w:rFonts w:asciiTheme="minorEastAsia" w:eastAsiaTheme="minorEastAsia" w:hAnsiTheme="minorEastAsia" w:cs="宋体" w:hint="default"/>
          <w:color w:val="auto"/>
          <w:szCs w:val="21"/>
          <w:highlight w:val="none"/>
          <w:lang w:val="en-US"/>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长春、大连、沈阳、济南、哈尔滨、兰州。</w:t>
      </w:r>
    </w:p>
    <w:p>
      <w:pPr>
        <w:widowControl/>
        <w:spacing w:line="360" w:lineRule="auto"/>
        <w:ind w:firstLine="420"/>
        <w:jc w:val="left"/>
        <w:rPr>
          <w:rFonts w:asciiTheme="minorEastAsia" w:eastAsiaTheme="minorEastAsia" w:hAnsiTheme="minorEastAsia" w:cs="宋体"/>
          <w:color w:val="auto"/>
          <w:szCs w:val="21"/>
          <w:highlight w:val="none"/>
        </w:rPr>
      </w:pP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7" w:name="_Toc26346"/>
      <w:bookmarkStart w:id="8" w:name="_Toc9087"/>
      <w:bookmarkStart w:id="9" w:name="_Toc41558662"/>
      <w:bookmarkStart w:id="10" w:name="_Hlk41556141"/>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7"/>
    </w:p>
    <w:p>
      <w:pPr>
        <w:pStyle w:val="a"/>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.1</w:t>
      </w:r>
      <w:r>
        <w:rPr>
          <w:rFonts w:ascii="宋体" w:hAnsi="宋体" w:cs="宋体" w:hint="eastAsia"/>
          <w:color w:val="auto"/>
          <w:sz w:val="21"/>
          <w:szCs w:val="21"/>
          <w:highlight w:val="none"/>
        </w:rPr>
        <w:t>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承诺对标招标人认可的商圈、商业体的对标店铺名称、产品清单及价格。</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航站楼招商餐饮类</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highlight w:val="none"/>
        </w:rPr>
      </w:pPr>
    </w:p>
    <w:p>
      <w:pPr>
        <w:pStyle w:val="a"/>
        <w:spacing w:line="360" w:lineRule="auto"/>
        <w:ind w:firstLine="420"/>
        <w:jc w:val="both"/>
        <w:rPr>
          <w:rFonts w:ascii="宋体" w:hAnsi="宋体" w:cs="宋体"/>
          <w:color w:val="auto"/>
          <w:sz w:val="21"/>
          <w:szCs w:val="21"/>
          <w:highlight w:val="none"/>
          <w:u w:val="single"/>
        </w:rPr>
      </w:pPr>
      <w:r>
        <w:rPr>
          <w:rFonts w:ascii="宋体" w:hAnsi="宋体" w:cs="宋体" w:hint="eastAsia"/>
          <w:color w:val="auto"/>
          <w:sz w:val="21"/>
          <w:szCs w:val="21"/>
          <w:highlight w:val="none"/>
        </w:rPr>
        <w:t>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 xml:space="preserve">品牌在成都市区无相同品牌对标，则承诺对标 </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（省会城市、直辖市、深圳市区、港澳台）</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（需盖鲜章）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outlineLvl w:val="1"/>
        <w:rPr>
          <w:rFonts w:ascii="宋体" w:hAnsi="宋体" w:cs="宋体"/>
          <w:b/>
          <w:bCs/>
          <w:color w:val="auto"/>
          <w:szCs w:val="21"/>
          <w:highlight w:val="none"/>
        </w:rPr>
      </w:pPr>
    </w:p>
    <w:p>
      <w:pPr>
        <w:spacing w:line="360" w:lineRule="auto"/>
        <w:rPr>
          <w:rFonts w:ascii="宋体" w:hAnsi="宋体" w:cs="宋体"/>
          <w:color w:val="auto"/>
          <w:szCs w:val="21"/>
          <w:highlight w:val="none"/>
        </w:rPr>
      </w:pPr>
      <w:bookmarkStart w:id="11" w:name="_Toc4063"/>
      <w:bookmarkStart w:id="12" w:name="_Toc27037"/>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szCs w:val="21"/>
          <w:highlight w:val="none"/>
        </w:rPr>
        <w:t>装修方案、效果图</w:t>
      </w:r>
      <w:bookmarkEnd w:id="11"/>
      <w:bookmarkEnd w:id="12"/>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品牌统一的装修风格效果图；或者针对招标标段的装修方案及效果图。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color w:val="auto"/>
          <w:sz w:val="21"/>
          <w:szCs w:val="21"/>
          <w:highlight w:val="none"/>
        </w:rPr>
        <w:t>4.3</w:t>
      </w:r>
      <w:r>
        <w:rPr>
          <w:rFonts w:ascii="宋体" w:hAnsi="宋体" w:cs="宋体" w:hint="eastAsia"/>
          <w:color w:val="auto"/>
          <w:sz w:val="21"/>
          <w:szCs w:val="21"/>
          <w:highlight w:val="none"/>
        </w:rPr>
        <w:t>本项目特色服务</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向旅客提供特色服务承诺书，并加盖单位公章。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.1卫生保洁制度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.2卫生知识培训制度和从业人员健康检查制度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.3卫生安全责任检查和追究制度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.4库房管理制度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.5食品进货查验记录制度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.6进出库台账制度、食品安全事故处理制度和报告制度等</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.7食品中毒应急预案</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.8食品生产单位提供食品出厂检验记录制度、食品生产过程安全管理情况记录等相关制度；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.9日常管理制度（含投诉处理制度）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.10品控制度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.11餐厨垃圾、废弃油脂管理制度</w:t>
      </w:r>
    </w:p>
    <w:p>
      <w:pPr>
        <w:pStyle w:val="a"/>
        <w:spacing w:line="360" w:lineRule="auto"/>
        <w:ind w:firstLine="1365"/>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.12设施设备管理制度（含清洗、消毒、维护制度）</w:t>
      </w:r>
    </w:p>
    <w:p>
      <w:pPr>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须提供包含但不限于以上的管理制度。</w:t>
      </w:r>
      <w:r>
        <w:rPr>
          <w:rFonts w:ascii="宋体" w:hAnsi="宋体" w:cs="宋体" w:hint="eastAsia"/>
          <w:color w:val="auto"/>
          <w:szCs w:val="21"/>
          <w:highlight w:val="none"/>
        </w:rPr>
        <w:br w:type="page"/>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5</w:t>
      </w:r>
      <w:r>
        <w:rPr>
          <w:rFonts w:ascii="宋体" w:hAnsi="宋体" w:cs="宋体" w:hint="eastAsia"/>
          <w:color w:val="auto"/>
          <w:sz w:val="21"/>
          <w:szCs w:val="21"/>
          <w:highlight w:val="none"/>
        </w:rPr>
        <w:t>本项目运营方案</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运营方案包括但不限于产品构成、人均消费、销售预测等信息。</w:t>
      </w:r>
    </w:p>
    <w:p>
      <w:pPr>
        <w:spacing w:line="360" w:lineRule="auto"/>
        <w:rPr>
          <w:rFonts w:ascii="宋体" w:hAnsi="宋体" w:cs="宋体"/>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1"/>
        <w:rPr>
          <w:rFonts w:ascii="宋体" w:hAnsi="宋体" w:cs="宋体"/>
          <w:b/>
          <w:bCs/>
          <w:color w:val="auto"/>
          <w:szCs w:val="21"/>
          <w:highlight w:val="none"/>
        </w:rPr>
      </w:pPr>
      <w:bookmarkStart w:id="13" w:name="_Toc6984"/>
      <w:bookmarkStart w:id="14" w:name="_Toc483"/>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3"/>
      <w:r>
        <w:rPr>
          <w:rFonts w:ascii="宋体" w:hAnsi="宋体" w:cs="宋体" w:hint="eastAsia"/>
          <w:b/>
          <w:bCs/>
          <w:color w:val="auto"/>
          <w:szCs w:val="21"/>
          <w:highlight w:val="none"/>
        </w:rPr>
        <w:t>情况</w:t>
      </w:r>
      <w:bookmarkEnd w:id="14"/>
    </w:p>
    <w:p>
      <w:pPr>
        <w:spacing w:line="360" w:lineRule="auto"/>
        <w:rPr>
          <w:rFonts w:ascii="宋体" w:hAnsi="宋体" w:cs="宋体"/>
          <w:color w:val="auto"/>
          <w:szCs w:val="21"/>
          <w:highlight w:val="none"/>
        </w:rPr>
      </w:pPr>
      <w:r>
        <w:rPr>
          <w:rFonts w:ascii="宋体" w:hAnsi="宋体" w:cs="宋体"/>
          <w:color w:val="auto"/>
          <w:szCs w:val="21"/>
          <w:highlight w:val="none"/>
        </w:rPr>
        <w:t>5.1</w:t>
      </w:r>
      <w:r>
        <w:rPr>
          <w:rFonts w:ascii="宋体" w:hAnsi="宋体" w:cs="宋体" w:hint="eastAsia"/>
          <w:color w:val="auto"/>
          <w:szCs w:val="21"/>
          <w:highlight w:val="none"/>
        </w:rPr>
        <w:t>品牌介绍：包括但不限于品牌档次、品牌产品特色、针对的客户群、商品价格区间、竞争品牌</w:t>
      </w:r>
      <w:r>
        <w:rPr>
          <w:rFonts w:asciiTheme="minorEastAsia" w:eastAsiaTheme="minorEastAsia" w:hAnsiTheme="minorEastAsia" w:cs="宋体" w:hint="eastAsia"/>
          <w:color w:val="auto"/>
          <w:szCs w:val="21"/>
          <w:highlight w:val="none"/>
        </w:rPr>
        <w:t>，包括但不限于入驻当地机场或购物中心、热门商业街区及名称，产品价格，品牌介绍，大众点评截图等。</w:t>
      </w:r>
      <w:r>
        <w:rPr>
          <w:rFonts w:ascii="宋体" w:hAnsi="宋体" w:cs="宋体" w:hint="eastAsia"/>
          <w:color w:val="auto"/>
          <w:szCs w:val="21"/>
          <w:highlight w:val="none"/>
        </w:rPr>
        <w:t>国家商务部颁发的《中华老字号》、省级及以上《非物质文化遗产名录》证明（如有）。</w:t>
      </w:r>
    </w:p>
    <w:p>
      <w:pPr>
        <w:pStyle w:val="ListParagraph"/>
        <w:numPr>
          <w:ilvl w:val="0"/>
          <w:numId w:val="3"/>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rPr>
          <w:rFonts w:ascii="宋体" w:hAnsi="宋体" w:cs="宋体"/>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公司在成都双流国际机场航站楼经营，由该公司参与成都双流国际机场T2航站楼招商标段餐饮类</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rPr>
          <w:rFonts w:ascii="宋体" w:hAnsi="宋体" w:cs="宋体"/>
          <w:color w:val="auto"/>
          <w:szCs w:val="21"/>
          <w:highlight w:val="none"/>
        </w:rPr>
      </w:pPr>
      <w:bookmarkStart w:id="15" w:name="_Toc9773"/>
      <w:bookmarkStart w:id="16" w:name="_Toc15781"/>
      <w:bookmarkStart w:id="17" w:name="_Toc25739"/>
      <w:bookmarkStart w:id="18" w:name="_Toc8152"/>
      <w:bookmarkStart w:id="19" w:name="_Toc9567"/>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5.3</w:t>
      </w:r>
      <w:r>
        <w:rPr>
          <w:rFonts w:ascii="宋体" w:hAnsi="宋体" w:cs="宋体" w:hint="eastAsia"/>
          <w:color w:val="auto"/>
          <w:szCs w:val="21"/>
          <w:highlight w:val="none"/>
        </w:rPr>
        <w:t>品牌坪效证明</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投标品牌202</w:t>
      </w:r>
      <w:r>
        <w:rPr>
          <w:rFonts w:ascii="宋体" w:hAnsi="宋体" w:cs="宋体" w:hint="eastAsia"/>
          <w:color w:val="auto"/>
          <w:sz w:val="21"/>
          <w:szCs w:val="21"/>
          <w:highlight w:val="none"/>
          <w:lang w:val="en-US" w:eastAsia="zh-CN"/>
        </w:rPr>
        <w:t>3</w:t>
      </w:r>
      <w:r>
        <w:rPr>
          <w:rFonts w:ascii="宋体" w:hAnsi="宋体" w:cs="宋体" w:hint="eastAsia"/>
          <w:color w:val="auto"/>
          <w:sz w:val="21"/>
          <w:szCs w:val="21"/>
          <w:highlight w:val="none"/>
        </w:rPr>
        <w:t>年单店销售额坪效（</w:t>
      </w:r>
      <w:r>
        <w:rPr>
          <w:rFonts w:ascii="宋体" w:hAnsi="宋体" w:cs="宋体"/>
          <w:color w:val="auto"/>
          <w:sz w:val="21"/>
          <w:szCs w:val="21"/>
          <w:highlight w:val="none"/>
        </w:rPr>
        <w:t>202</w:t>
      </w:r>
      <w:r>
        <w:rPr>
          <w:rFonts w:ascii="宋体" w:hAnsi="宋体" w:cs="宋体" w:hint="eastAsia"/>
          <w:color w:val="auto"/>
          <w:sz w:val="21"/>
          <w:szCs w:val="21"/>
          <w:highlight w:val="none"/>
          <w:lang w:val="en-US" w:eastAsia="zh-CN"/>
        </w:rPr>
        <w:t>3</w:t>
      </w:r>
      <w:r>
        <w:rPr>
          <w:rFonts w:ascii="宋体" w:hAnsi="宋体" w:cs="宋体" w:hint="eastAsia"/>
          <w:color w:val="auto"/>
          <w:sz w:val="21"/>
          <w:szCs w:val="21"/>
          <w:highlight w:val="none"/>
        </w:rPr>
        <w:t>年单店销售额坪效</w:t>
      </w:r>
      <w:r>
        <w:rPr>
          <w:rFonts w:ascii="宋体" w:hAnsi="宋体" w:cs="宋体"/>
          <w:color w:val="auto"/>
          <w:sz w:val="21"/>
          <w:szCs w:val="21"/>
          <w:highlight w:val="none"/>
        </w:rPr>
        <w:t>=</w:t>
      </w:r>
      <w:r>
        <w:rPr>
          <w:rFonts w:ascii="宋体" w:hAnsi="宋体" w:cs="宋体" w:hint="eastAsia"/>
          <w:color w:val="auto"/>
          <w:sz w:val="21"/>
          <w:szCs w:val="21"/>
          <w:highlight w:val="none"/>
        </w:rPr>
        <w:t>单店202</w:t>
      </w:r>
      <w:r>
        <w:rPr>
          <w:rFonts w:ascii="宋体" w:hAnsi="宋体" w:cs="宋体" w:hint="eastAsia"/>
          <w:color w:val="auto"/>
          <w:sz w:val="21"/>
          <w:szCs w:val="21"/>
          <w:highlight w:val="none"/>
          <w:lang w:val="en-US" w:eastAsia="zh-CN"/>
        </w:rPr>
        <w:t>3</w:t>
      </w:r>
      <w:r>
        <w:rPr>
          <w:rFonts w:ascii="宋体" w:hAnsi="宋体" w:cs="宋体" w:hint="eastAsia"/>
          <w:color w:val="auto"/>
          <w:sz w:val="21"/>
          <w:szCs w:val="21"/>
          <w:highlight w:val="none"/>
        </w:rPr>
        <w:t>年销售额</w:t>
      </w:r>
      <w:r>
        <w:rPr>
          <w:rFonts w:ascii="宋体" w:hAnsi="宋体" w:cs="宋体"/>
          <w:color w:val="auto"/>
          <w:sz w:val="21"/>
          <w:szCs w:val="21"/>
          <w:highlight w:val="none"/>
        </w:rPr>
        <w:t>/该单店面积</w:t>
      </w:r>
      <w:r>
        <w:rPr>
          <w:rFonts w:ascii="宋体" w:hAnsi="宋体" w:cs="宋体" w:hint="eastAsia"/>
          <w:color w:val="auto"/>
          <w:sz w:val="21"/>
          <w:szCs w:val="21"/>
          <w:highlight w:val="none"/>
        </w:rPr>
        <w:t>所占平方米）证明材料。由场地出租方或商业综合体等第三方盖章的证明材料。</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5.4</w:t>
      </w:r>
      <w:r>
        <w:rPr>
          <w:rFonts w:ascii="宋体" w:hAnsi="宋体" w:cstheme="minorEastAsia" w:hint="eastAsia"/>
          <w:color w:val="auto"/>
          <w:szCs w:val="21"/>
          <w:highlight w:val="none"/>
        </w:rPr>
        <w:t>大众点评得分</w:t>
      </w:r>
    </w:p>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投标时须提供在成都主城区（锦江区、武侯区、青羊区、金牛区、成华区、高新区、天府新区）</w:t>
      </w:r>
      <w:r>
        <w:rPr>
          <w:rFonts w:ascii="宋体" w:hAnsi="宋体" w:cstheme="minorEastAsia" w:hint="eastAsia"/>
          <w:color w:val="auto"/>
          <w:szCs w:val="21"/>
          <w:highlight w:val="none"/>
          <w:lang w:eastAsia="zh-CN"/>
        </w:rPr>
        <w:t>至</w:t>
      </w:r>
      <w:r>
        <w:rPr>
          <w:rFonts w:ascii="宋体" w:hAnsi="宋体" w:cstheme="minorEastAsia" w:hint="eastAsia"/>
          <w:color w:val="auto"/>
          <w:szCs w:val="21"/>
          <w:highlight w:val="none"/>
          <w:lang w:val="en-US" w:eastAsia="zh-CN"/>
        </w:rPr>
        <w:t>本次招商</w:t>
      </w:r>
      <w:r>
        <w:rPr>
          <w:rFonts w:ascii="宋体" w:hAnsi="宋体" w:cstheme="minorEastAsia" w:hint="eastAsia"/>
          <w:color w:val="auto"/>
          <w:szCs w:val="21"/>
          <w:highlight w:val="none"/>
          <w:lang w:eastAsia="zh-CN"/>
        </w:rPr>
        <w:t>之时持续在营的</w:t>
      </w:r>
      <w:r>
        <w:rPr>
          <w:rFonts w:ascii="宋体" w:hAnsi="宋体" w:cstheme="minorEastAsia" w:hint="eastAsia"/>
          <w:color w:val="auto"/>
          <w:szCs w:val="21"/>
          <w:highlight w:val="none"/>
        </w:rPr>
        <w:t>任意一店大众点评得分</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sz w:val="21"/>
          <w:szCs w:val="21"/>
          <w:highlight w:val="none"/>
        </w:rPr>
      </w:pPr>
      <w:r>
        <w:rPr>
          <w:color w:val="auto"/>
          <w:sz w:val="21"/>
          <w:szCs w:val="21"/>
          <w:highlight w:val="none"/>
        </w:rPr>
        <w:t>6.</w:t>
      </w:r>
      <w:r>
        <w:rPr>
          <w:rFonts w:hint="eastAsia"/>
          <w:color w:val="auto"/>
          <w:sz w:val="21"/>
          <w:szCs w:val="21"/>
          <w:highlight w:val="none"/>
        </w:rPr>
        <w:t>品牌定位</w:t>
      </w:r>
    </w:p>
    <w:p>
      <w:pPr>
        <w:pStyle w:val="a"/>
        <w:spacing w:line="360" w:lineRule="auto"/>
        <w:rPr>
          <w:rFonts w:ascii="宋体" w:hAnsi="宋体" w:cs="宋体"/>
          <w:color w:val="auto"/>
          <w:sz w:val="21"/>
          <w:szCs w:val="21"/>
          <w:highlight w:val="none"/>
        </w:rPr>
      </w:pPr>
      <w:r>
        <w:rPr>
          <w:rFonts w:ascii="宋体" w:hAnsi="宋体" w:cstheme="minorEastAsia" w:hint="eastAsia"/>
          <w:color w:val="auto"/>
          <w:sz w:val="21"/>
          <w:szCs w:val="21"/>
          <w:highlight w:val="none"/>
        </w:rPr>
        <w:t>投标时须提供任意一店大众点评截图等品牌定位证明资料，包括但不限于入驻的城市购物中心名称、人均价格、大众点评得分、菜品、评价。</w:t>
      </w:r>
      <w:bookmarkEnd w:id="15"/>
      <w:bookmarkEnd w:id="16"/>
      <w:bookmarkEnd w:id="17"/>
      <w:bookmarkEnd w:id="18"/>
      <w:bookmarkEnd w:id="19"/>
    </w:p>
    <w:p>
      <w:pPr>
        <w:pStyle w:val="ListParagraph"/>
        <w:numPr>
          <w:ilvl w:val="0"/>
          <w:numId w:val="3"/>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color w:val="auto"/>
          <w:sz w:val="21"/>
          <w:szCs w:val="21"/>
          <w:highlight w:val="none"/>
        </w:rPr>
      </w:pPr>
      <w:bookmarkStart w:id="20" w:name="_Toc2600"/>
      <w:r>
        <w:rPr>
          <w:color w:val="auto"/>
          <w:sz w:val="21"/>
          <w:szCs w:val="21"/>
          <w:highlight w:val="none"/>
        </w:rPr>
        <w:t>7.</w:t>
      </w:r>
      <w:r>
        <w:rPr>
          <w:rFonts w:hint="eastAsia"/>
          <w:color w:val="auto"/>
          <w:sz w:val="21"/>
          <w:szCs w:val="21"/>
          <w:highlight w:val="none"/>
          <w:lang w:eastAsia="zh-CN"/>
        </w:rPr>
        <w:t>商家</w:t>
      </w:r>
      <w:r>
        <w:rPr>
          <w:rFonts w:hint="eastAsia"/>
          <w:color w:val="auto"/>
          <w:sz w:val="21"/>
          <w:szCs w:val="21"/>
          <w:highlight w:val="none"/>
        </w:rPr>
        <w:t>须提供的其他资料</w:t>
      </w:r>
      <w:bookmarkEnd w:id="20"/>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Heading1"/>
        <w:rPr>
          <w:rFonts w:ascii="宋体" w:hAnsi="宋体" w:cs="宋体"/>
          <w:bCs/>
          <w:color w:val="auto"/>
          <w:szCs w:val="21"/>
          <w:highlight w:val="none"/>
        </w:rPr>
      </w:pPr>
      <w:r>
        <w:rPr>
          <w:rFonts w:ascii="宋体" w:hAnsi="宋体" w:cs="宋体" w:hint="eastAsia"/>
          <w:bCs/>
          <w:color w:val="auto"/>
          <w:szCs w:val="21"/>
          <w:highlight w:val="none"/>
        </w:rPr>
        <w:br w:type="page"/>
      </w:r>
      <w:bookmarkEnd w:id="8"/>
      <w:bookmarkEnd w:id="9"/>
      <w:bookmarkEnd w:id="10"/>
    </w:p>
    <w:p>
      <w:pPr>
        <w:spacing w:line="360" w:lineRule="auto"/>
        <w:outlineLvl w:val="1"/>
        <w:rPr>
          <w:color w:val="auto"/>
          <w:highlight w:val="none"/>
        </w:rPr>
      </w:pPr>
      <w:bookmarkStart w:id="21" w:name="_Toc15677"/>
      <w:r>
        <w:rPr>
          <w:rFonts w:ascii="宋体" w:hAnsi="宋体" w:cs="宋体" w:hint="eastAsia"/>
          <w:b/>
          <w:bCs/>
          <w:color w:val="auto"/>
          <w:szCs w:val="21"/>
          <w:highlight w:val="none"/>
        </w:rPr>
        <w:t>二、</w:t>
      </w:r>
      <w:bookmarkEnd w:id="21"/>
      <w:bookmarkStart w:id="22" w:name="_Toc31236"/>
      <w:r>
        <w:rPr>
          <w:rFonts w:ascii="宋体" w:hAnsi="宋体" w:cs="宋体" w:hint="eastAsia"/>
          <w:b/>
          <w:bCs/>
          <w:color w:val="auto"/>
          <w:sz w:val="24"/>
          <w:highlight w:val="none"/>
        </w:rPr>
        <w:t>商务方案分册</w:t>
      </w:r>
      <w:bookmarkEnd w:id="22"/>
    </w:p>
    <w:p>
      <w:pPr>
        <w:spacing w:line="360" w:lineRule="auto"/>
        <w:jc w:val="center"/>
        <w:rPr>
          <w:color w:val="auto"/>
          <w:highlight w:val="none"/>
        </w:rPr>
      </w:pPr>
      <w:r>
        <w:rPr>
          <w:rFonts w:ascii="宋体" w:hAnsi="宋体" w:cs="宋体" w:hint="eastAsia"/>
          <w:b/>
          <w:bCs/>
          <w:color w:val="auto"/>
          <w:sz w:val="28"/>
          <w:szCs w:val="28"/>
          <w:highlight w:val="none"/>
        </w:rPr>
        <w:t>简餐店商务报价表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签约5年，双方无异议顺延2年。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tcPr>
          <w:p>
            <w:pPr>
              <w:pStyle w:val="a"/>
              <w:spacing w:line="360" w:lineRule="auto"/>
              <w:ind w:firstLine="2520"/>
              <w:rPr>
                <w:rFonts w:ascii="宋体" w:hAnsi="宋体" w:cs="宋体"/>
                <w:color w:val="auto"/>
                <w:sz w:val="21"/>
                <w:szCs w:val="21"/>
                <w:highlight w:val="none"/>
                <w:u w:val="singl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spacing w:line="360" w:lineRule="auto"/>
              <w:rPr>
                <w:rFonts w:ascii="宋体" w:hAnsi="宋体" w:cs="宋体"/>
                <w:color w:val="auto"/>
                <w:szCs w:val="21"/>
                <w:highlight w:val="none"/>
              </w:rPr>
            </w:pPr>
            <w:r>
              <w:rPr>
                <w:rFonts w:ascii="宋体" w:hAnsi="宋体" w:cs="宋体" w:hint="eastAsia"/>
                <w:color w:val="auto"/>
                <w:szCs w:val="21"/>
                <w:highlight w:val="none"/>
              </w:rPr>
              <w:t>1、租金模式为月保底经营费用与销售额提成两者取高的模式，月保底经营费用及销售额提成比例均须填写。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的月保底经营费用随双流国际机场T2航站楼月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color w:val="auto"/>
                <w:szCs w:val="21"/>
                <w:highlight w:val="none"/>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qFormat/>
    <w:pPr>
      <w:keepNext/>
      <w:keepLines/>
      <w:spacing w:before="340" w:after="330" w:line="576" w:lineRule="auto"/>
      <w:outlineLvl w:val="0"/>
    </w:pPr>
    <w:rPr>
      <w:b/>
      <w:kern w:val="44"/>
      <w:sz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2024-04-09T02:50:52Z</cp:lastPrinted>
  <dcterms:created xsi:type="dcterms:W3CDTF">2014-10-29T12:08:00Z</dcterms:created>
  <dcterms:modified xsi:type="dcterms:W3CDTF">2024-04-09T02:52:41Z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