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4360"/>
      <w:r>
        <w:rPr>
          <w:rFonts w:hint="eastAsia"/>
          <w:sz w:val="28"/>
          <w:szCs w:val="36"/>
          <w:lang w:val="en-US" w:eastAsia="zh-CN"/>
        </w:rPr>
        <w:t>附件1-2：商家资料清单（综合百货）</w:t>
      </w:r>
    </w:p>
    <w:p>
      <w:pPr>
        <w:pStyle w:val="a"/>
        <w:numPr>
          <w:ilvl w:val="0"/>
          <w:numId w:val="0"/>
        </w:numPr>
        <w:spacing w:line="360" w:lineRule="auto"/>
        <w:jc w:val="center"/>
        <w:outlineLvl w:val="1"/>
        <w:rPr>
          <w:rFonts w:ascii="宋体" w:hAnsi="宋体" w:cs="宋体" w:hint="eastAsia"/>
          <w:b/>
          <w:bCs/>
          <w:color w:val="auto"/>
          <w:highlight w:val="none"/>
          <w:lang w:val="en-US" w:eastAsia="zh-CN"/>
        </w:rPr>
      </w:pPr>
      <w:r>
        <w:rPr>
          <w:rFonts w:hint="eastAsia"/>
          <w:b/>
          <w:sz w:val="32"/>
          <w:szCs w:val="32"/>
          <w:lang w:val="en-US" w:eastAsia="zh-CN"/>
        </w:rPr>
        <w:t>商家</w:t>
      </w:r>
      <w:r>
        <w:rPr>
          <w:rFonts w:hint="eastAsia"/>
          <w:b/>
          <w:sz w:val="32"/>
          <w:szCs w:val="32"/>
        </w:rPr>
        <w:t>报名资料</w:t>
      </w:r>
      <w:r>
        <w:rPr>
          <w:b/>
          <w:sz w:val="32"/>
          <w:szCs w:val="32"/>
        </w:rPr>
        <w:t>清单</w:t>
      </w:r>
      <w:r>
        <w:rPr>
          <w:rFonts w:hint="eastAsia"/>
          <w:b/>
          <w:sz w:val="32"/>
          <w:szCs w:val="32"/>
          <w:lang w:eastAsia="zh-CN"/>
        </w:rPr>
        <w:t>（</w:t>
      </w:r>
      <w:r>
        <w:rPr>
          <w:rFonts w:hint="eastAsia"/>
          <w:b/>
          <w:sz w:val="32"/>
          <w:szCs w:val="32"/>
          <w:lang w:val="en-US" w:eastAsia="zh-CN"/>
        </w:rPr>
        <w:t>综合百货</w:t>
      </w:r>
      <w:r>
        <w:rPr>
          <w:rFonts w:hint="eastAsia"/>
          <w:b/>
          <w:sz w:val="32"/>
          <w:szCs w:val="32"/>
          <w:lang w:eastAsia="zh-CN"/>
        </w:rPr>
        <w:t>）</w:t>
      </w:r>
    </w:p>
    <w:p>
      <w:pPr>
        <w:pStyle w:val="a"/>
        <w:numPr>
          <w:ilvl w:val="0"/>
          <w:numId w:val="0"/>
        </w:numPr>
        <w:spacing w:line="360" w:lineRule="auto"/>
        <w:jc w:val="both"/>
        <w:outlineLvl w:val="1"/>
        <w:rPr>
          <w:rFonts w:ascii="宋体" w:hAnsi="宋体" w:cs="宋体" w:hint="eastAsia"/>
          <w:b/>
          <w:bCs/>
          <w:color w:val="auto"/>
          <w:highlight w:val="none"/>
          <w:lang w:val="en-US" w:eastAsia="zh-CN"/>
        </w:rPr>
      </w:pPr>
    </w:p>
    <w:p>
      <w:pPr>
        <w:pStyle w:val="a"/>
        <w:numPr>
          <w:ilvl w:val="0"/>
          <w:numId w:val="0"/>
        </w:numPr>
        <w:spacing w:line="360" w:lineRule="auto"/>
        <w:jc w:val="both"/>
        <w:outlineLvl w:val="1"/>
        <w:rPr>
          <w:color w:val="auto"/>
          <w:highlight w:val="none"/>
        </w:rPr>
      </w:pPr>
      <w:r>
        <w:rPr>
          <w:rFonts w:ascii="宋体" w:hAnsi="宋体" w:cs="宋体" w:hint="eastAsia"/>
          <w:b/>
          <w:bCs/>
          <w:color w:val="auto"/>
          <w:highlight w:val="none"/>
          <w:lang w:val="en-US" w:eastAsia="zh-CN"/>
        </w:rPr>
        <w:t>一、</w:t>
      </w:r>
      <w:r>
        <w:rPr>
          <w:rFonts w:ascii="宋体" w:hAnsi="宋体" w:cs="宋体" w:hint="eastAsia"/>
          <w:b/>
          <w:bCs/>
          <w:color w:val="auto"/>
          <w:highlight w:val="none"/>
        </w:rPr>
        <w:t>技术方案分册目录</w:t>
      </w:r>
      <w:bookmarkEnd w:id="0"/>
      <w:bookmarkStart w:id="1" w:name="_Toc31171"/>
      <w:bookmarkEnd w:id="1"/>
    </w:p>
    <w:tbl>
      <w:tblPr>
        <w:tblStyle w:val="TableGrid"/>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2534"/>
        <w:gridCol w:w="1520"/>
      </w:tblGrid>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一级目录</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二级目录</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三级目录</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备注</w:t>
            </w:r>
          </w:p>
        </w:tc>
        <w:tc>
          <w:tcPr>
            <w:tcW w:w="1520"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对应页码</w:t>
            </w: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1.基本情况</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基本资料及承诺书</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1.1合作申请书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按照合作申请书格式签字并加盖单位公章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1.2企业法人营业执照副本复印件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1.3法人、授权委托人身份证明复印件及授权委托书原件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1.4符合</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条件承诺书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无</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中不合格</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情形，需要提交承诺书，加盖单位公章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须在</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发布后从“国家企业信用信息公示系统”网站（www.gsxt.gov.cn）截图并加盖公章。</w:t>
            </w:r>
          </w:p>
          <w:p>
            <w:pPr>
              <w:spacing w:line="360" w:lineRule="auto"/>
              <w:rPr>
                <w:rFonts w:ascii="宋体" w:hAnsi="宋体" w:cs="宋体"/>
                <w:color w:val="auto"/>
                <w:szCs w:val="21"/>
                <w:highlight w:val="none"/>
              </w:rPr>
            </w:pP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2.综合实力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综合实力</w:t>
            </w:r>
          </w:p>
        </w:tc>
        <w:tc>
          <w:tcPr>
            <w:tcW w:w="2306" w:type="dxa"/>
            <w:vAlign w:val="center"/>
          </w:tcPr>
          <w:p>
            <w:pPr>
              <w:spacing w:line="360" w:lineRule="auto"/>
              <w:rPr>
                <w:rFonts w:ascii="宋体" w:hAnsi="宋体" w:eastAsiaTheme="minorEastAsia" w:cs="宋体"/>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年中任意连续三年的财务报表复印件（须有会计师事务所签章）</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其中包括：资产负债表、利润表，加盖单位公章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2022或2023年</w:t>
            </w:r>
            <w:r>
              <w:rPr>
                <w:rFonts w:ascii="宋体" w:hAnsi="宋体" w:cs="宋体" w:hint="eastAsia"/>
                <w:color w:val="auto"/>
                <w:szCs w:val="21"/>
                <w:highlight w:val="none"/>
              </w:rPr>
              <w:t>度纳税信用等级证明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3.经营能力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及其分子公司在中国年旅客吞吐量</w:t>
            </w:r>
            <w:r>
              <w:rPr>
                <w:rFonts w:ascii="宋体" w:hAnsi="宋体" w:cs="宋体" w:hint="eastAsia"/>
                <w:color w:val="auto"/>
                <w:szCs w:val="21"/>
                <w:highlight w:val="none"/>
                <w:lang w:eastAsia="zh-CN"/>
              </w:rPr>
              <w:t>2021-2023</w:t>
            </w:r>
            <w:r>
              <w:rPr>
                <w:rFonts w:ascii="宋体" w:hAnsi="宋体" w:cs="宋体" w:hint="eastAsia"/>
                <w:color w:val="auto"/>
                <w:szCs w:val="21"/>
                <w:highlight w:val="none"/>
              </w:rPr>
              <w:t>年期间任意一年1500万人次以上及港澳台机场的布局情况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3.1.2布局列表的证明文件，包括但不限于合同复印件或业主方证明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3.2.2布局列表证明文件，包括但不限于合同复印件或业主方证明。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3.3经营模式及</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提供品牌直营或授权经营模式的承诺书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年受国内机场业主方的获奖情况，提供获奖证书（公司级）</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清晰的证书复印件，加盖公章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4.经营方案</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4.1装修方案、效果图</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品牌统一的装修风格效果图；或者</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针对机场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标段的装修方案及效果图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szCs w:val="21"/>
                <w:highlight w:val="none"/>
              </w:rPr>
              <w:t>本项目特色服务</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向旅客提供特色服务承诺书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管理制度</w:t>
            </w:r>
          </w:p>
        </w:tc>
        <w:tc>
          <w:tcPr>
            <w:tcW w:w="2306" w:type="dxa"/>
            <w:vAlign w:val="center"/>
          </w:tcPr>
          <w:p>
            <w:pPr>
              <w:pStyle w:val="11"/>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.1日常管理制度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.2应急制度（含投诉处理制度）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.3库存管理制度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4</w:t>
            </w:r>
            <w:r>
              <w:rPr>
                <w:rFonts w:ascii="宋体" w:hAnsi="宋体" w:cs="宋体" w:hint="eastAsia"/>
                <w:color w:val="auto"/>
                <w:szCs w:val="21"/>
                <w:highlight w:val="none"/>
              </w:rPr>
              <w:t>本项目运营方案</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本项目运营方案包括但不限于产品构成、人均消费、销售预测等信息</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5.品牌情况</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5.1品牌介绍</w:t>
            </w:r>
          </w:p>
        </w:tc>
        <w:tc>
          <w:tcPr>
            <w:tcW w:w="2306" w:type="dxa"/>
            <w:vAlign w:val="center"/>
          </w:tcPr>
          <w:p>
            <w:pPr>
              <w:spacing w:line="360" w:lineRule="auto"/>
              <w:rPr>
                <w:color w:val="auto"/>
                <w:highlight w:val="none"/>
              </w:rPr>
            </w:pPr>
            <w:r>
              <w:rPr>
                <w:rFonts w:asciiTheme="minorEastAsia" w:eastAsiaTheme="minorEastAsia" w:hAnsiTheme="minorEastAsia" w:cs="宋体" w:hint="eastAsia"/>
                <w:color w:val="auto"/>
                <w:szCs w:val="21"/>
                <w:highlight w:val="none"/>
              </w:rPr>
              <w:t>品牌的介绍资料，</w:t>
            </w:r>
            <w:r>
              <w:rPr>
                <w:rFonts w:asciiTheme="minorEastAsia" w:eastAsiaTheme="minorEastAsia" w:hAnsiTheme="minorEastAsia" w:cs="宋体" w:hint="eastAsia"/>
                <w:color w:val="auto"/>
                <w:szCs w:val="21"/>
                <w:highlight w:val="none"/>
                <w:lang w:eastAsia="zh-CN"/>
              </w:rPr>
              <w:t>招商</w:t>
            </w:r>
            <w:r>
              <w:rPr>
                <w:rFonts w:asciiTheme="minorEastAsia" w:eastAsiaTheme="minorEastAsia" w:hAnsiTheme="minorEastAsia" w:cs="宋体" w:hint="eastAsia"/>
                <w:color w:val="auto"/>
                <w:szCs w:val="21"/>
                <w:highlight w:val="none"/>
              </w:rPr>
              <w:t>时须提供品牌定位证明资料，包括但不限于入驻当地机场或购物中心、热门商业街区及名称，产品价格，品牌介绍，大众点评截图等。</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5.2品牌权益证明</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品牌的商标注册证及授权书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经营多个品牌，需要分别提供品牌资料、注册证及授权书，并加盖单位公章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5.3品牌在国内城市布局情况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5.3.1布局列表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5.3.2布局列表证明文件，包括但不限于合同复印件或业主方证明。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5.4品牌坪效</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年品牌单店销售额坪效证明材料（单店年销售额</w:t>
            </w:r>
            <w:r>
              <w:rPr>
                <w:rFonts w:ascii="宋体" w:hAnsi="宋体" w:cs="宋体"/>
                <w:color w:val="auto"/>
                <w:szCs w:val="21"/>
                <w:highlight w:val="none"/>
              </w:rPr>
              <w:t>/该单店面积所占平方米数</w:t>
            </w:r>
            <w:r>
              <w:rPr>
                <w:rFonts w:ascii="宋体" w:hAnsi="宋体" w:cs="宋体" w:hint="eastAsia"/>
                <w:color w:val="auto"/>
                <w:szCs w:val="21"/>
                <w:highlight w:val="none"/>
              </w:rPr>
              <w:t>）</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提供场地出租方或商业综合体等第三方盖章的证明材料</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5.5品牌广告投放</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w:t>
            </w:r>
            <w:r>
              <w:rPr>
                <w:rFonts w:ascii="宋体" w:hAnsi="宋体" w:cs="宋体" w:hint="eastAsia"/>
                <w:color w:val="auto"/>
                <w:szCs w:val="21"/>
                <w:highlight w:val="none"/>
                <w:lang w:val="en-US" w:eastAsia="zh-CN"/>
              </w:rPr>
              <w:t>2022-2023</w:t>
            </w:r>
            <w:r>
              <w:rPr>
                <w:rFonts w:ascii="宋体" w:hAnsi="宋体" w:cs="宋体" w:hint="eastAsia"/>
                <w:color w:val="auto"/>
                <w:szCs w:val="21"/>
                <w:highlight w:val="none"/>
              </w:rPr>
              <w:t>年在央视等主流媒体、省会城市及直辖市市区商圈、地方卫视、交通枢纽等投放广告的证明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若有，提供并加盖单位公章。若没有，则无需提供。</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6.</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需要提供的其他资料</w:t>
            </w:r>
          </w:p>
        </w:tc>
        <w:tc>
          <w:tcPr>
            <w:tcW w:w="7877" w:type="dxa"/>
            <w:gridSpan w:val="4"/>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（1）对标承诺书；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w:t>
            </w:r>
          </w:p>
        </w:tc>
      </w:tr>
    </w:tbl>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应答</w:t>
      </w:r>
      <w:r>
        <w:rPr>
          <w:rFonts w:ascii="宋体" w:hAnsi="宋体" w:cs="宋体" w:hint="eastAsia"/>
          <w:color w:val="auto"/>
          <w:szCs w:val="21"/>
          <w:highlight w:val="none"/>
          <w:lang w:eastAsia="zh-CN"/>
        </w:rPr>
        <w:t>文件</w:t>
      </w:r>
      <w:r>
        <w:rPr>
          <w:rFonts w:ascii="宋体" w:hAnsi="宋体" w:cs="宋体" w:hint="eastAsia"/>
          <w:color w:val="auto"/>
          <w:szCs w:val="21"/>
          <w:highlight w:val="none"/>
        </w:rPr>
        <w:t>目录表进行编写，如未按要求编写所造成对</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bookmarkStart w:id="2" w:name="_GoBack"/>
      <w:bookmarkEnd w:id="2"/>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1"/>
        </w:numPr>
        <w:spacing w:line="360" w:lineRule="auto"/>
        <w:ind w:firstLine="422"/>
        <w:jc w:val="left"/>
        <w:outlineLvl w:val="1"/>
        <w:rPr>
          <w:rFonts w:ascii="宋体" w:hAnsi="宋体" w:cs="宋体"/>
          <w:b/>
          <w:bCs/>
          <w:color w:val="auto"/>
          <w:szCs w:val="21"/>
          <w:highlight w:val="none"/>
        </w:rPr>
      </w:pPr>
      <w:bookmarkStart w:id="3" w:name="_Toc26921"/>
      <w:r>
        <w:rPr>
          <w:rFonts w:ascii="宋体" w:hAnsi="宋体" w:cs="宋体" w:hint="eastAsia"/>
          <w:b/>
          <w:bCs/>
          <w:color w:val="auto"/>
          <w:szCs w:val="21"/>
          <w:highlight w:val="none"/>
        </w:rPr>
        <w:t>基本情况</w:t>
      </w:r>
      <w:bookmarkEnd w:id="3"/>
    </w:p>
    <w:p>
      <w:pPr>
        <w:spacing w:line="360" w:lineRule="auto"/>
        <w:ind w:firstLine="420"/>
        <w:jc w:val="left"/>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文件的关于成都双流国际机场T2航站楼招商标段综合百货类的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w:t>
      </w:r>
      <w:r>
        <w:rPr>
          <w:rFonts w:ascii="宋体" w:hAnsi="宋体" w:cs="宋体" w:hint="eastAsia"/>
          <w:color w:val="auto"/>
          <w:szCs w:val="21"/>
          <w:highlight w:val="none"/>
          <w:lang w:eastAsia="zh-CN"/>
        </w:rPr>
        <w:t>招商</w:t>
      </w:r>
      <w:r>
        <w:rPr>
          <w:rFonts w:ascii="宋体" w:hAnsi="宋体" w:cs="宋体" w:hint="eastAsia"/>
          <w:color w:val="auto"/>
          <w:szCs w:val="21"/>
          <w:highlight w:val="none"/>
          <w:lang w:val="en-US" w:eastAsia="zh-CN"/>
        </w:rPr>
        <w:t>公告</w:t>
      </w:r>
      <w:r>
        <w:rPr>
          <w:rFonts w:ascii="宋体" w:hAnsi="宋体" w:cs="宋体" w:hint="eastAsia"/>
          <w:color w:val="auto"/>
          <w:szCs w:val="21"/>
          <w:highlight w:val="none"/>
        </w:rPr>
        <w:t>，以及补充通知书（若有），我们知道必须放弃对上述文件和资料的所有条款提出含糊不清的问题的权利。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活动而发生的任何费用。</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截止日起的九十（90）天。</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文件制定的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文件要求和我们在</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hint="eastAsia"/>
          <w:color w:val="auto"/>
          <w:szCs w:val="21"/>
          <w:lang w:eastAsia="zh-CN"/>
        </w:rPr>
      </w:pPr>
      <w:r>
        <w:rPr>
          <w:rFonts w:ascii="宋体" w:hAnsi="宋体" w:cs="宋体" w:hint="eastAsia"/>
          <w:color w:val="auto"/>
          <w:szCs w:val="21"/>
        </w:rPr>
        <w:t>六、我们确认，贵方有权利根据</w:t>
      </w:r>
      <w:r>
        <w:rPr>
          <w:rFonts w:ascii="宋体" w:hAnsi="宋体" w:cs="宋体" w:hint="eastAsia"/>
          <w:color w:val="auto"/>
          <w:szCs w:val="21"/>
          <w:lang w:eastAsia="zh-CN"/>
        </w:rPr>
        <w:t>招商应答文件</w:t>
      </w:r>
      <w:r>
        <w:rPr>
          <w:rFonts w:ascii="宋体" w:hAnsi="宋体" w:cs="宋体" w:hint="eastAsia"/>
          <w:color w:val="auto"/>
          <w:szCs w:val="21"/>
        </w:rPr>
        <w:t>的有关规定，没收我方的保证金</w:t>
      </w:r>
      <w:r>
        <w:rPr>
          <w:rFonts w:ascii="宋体" w:hAnsi="宋体" w:cs="宋体" w:hint="eastAsia"/>
          <w:color w:val="auto"/>
          <w:szCs w:val="21"/>
          <w:lang w:eastAsia="zh-CN"/>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lang w:val="en-US" w:eastAsia="zh-CN"/>
        </w:rPr>
        <w:t>七、</w:t>
      </w:r>
      <w:r>
        <w:rPr>
          <w:rFonts w:ascii="宋体" w:hAnsi="宋体" w:cs="宋体" w:hint="eastAsia"/>
          <w:color w:val="auto"/>
          <w:szCs w:val="21"/>
          <w:highlight w:val="none"/>
        </w:rPr>
        <w:t>我们在此与本合作申请书一并提交的作为</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十</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w:t>
      </w:r>
      <w:r>
        <w:rPr>
          <w:rFonts w:ascii="宋体" w:hAnsi="宋体" w:cs="宋体" w:hint="eastAsia"/>
          <w:color w:val="auto"/>
          <w:szCs w:val="21"/>
          <w:highlight w:val="none"/>
          <w:lang w:val="en-US" w:eastAsia="zh-CN"/>
        </w:rPr>
        <w:t>一</w:t>
      </w:r>
      <w:r>
        <w:rPr>
          <w:rFonts w:ascii="宋体" w:hAnsi="宋体" w:cs="宋体" w:hint="eastAsia"/>
          <w:color w:val="auto"/>
          <w:szCs w:val="21"/>
          <w:highlight w:val="none"/>
        </w:rPr>
        <w:t>、我们证实，本合作申请书是我方</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或</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授权代表签字：</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1.2 企业营业执照副本复印件</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0"/>
        <w:rPr>
          <w:rFonts w:ascii="宋体" w:hAnsi="宋体" w:cs="宋体"/>
          <w:color w:val="auto"/>
          <w:szCs w:val="21"/>
          <w:highlight w:val="none"/>
        </w:rPr>
      </w:pPr>
      <w:r>
        <w:rPr>
          <w:rFonts w:ascii="宋体" w:hAnsi="宋体" w:cs="宋体" w:hint="eastAsia"/>
          <w:bCs/>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)为我公司授权代表，参与成都双流国际机场T2航站楼招商工作，以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人联系，并处理与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招商</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ind w:firstLine="422"/>
        <w:rPr>
          <w:rFonts w:ascii="宋体" w:hAnsi="宋体" w:cs="宋体"/>
          <w:b/>
          <w:bCs/>
          <w:color w:val="auto"/>
          <w:szCs w:val="21"/>
          <w:highlight w:val="none"/>
        </w:rPr>
      </w:pPr>
    </w:p>
    <w:p>
      <w:pPr>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360" w:lineRule="auto"/>
        <w:outlineLvl w:val="1"/>
        <w:rPr>
          <w:rFonts w:ascii="宋体" w:hAnsi="宋体" w:cs="宋体"/>
          <w:b/>
          <w:bCs/>
          <w:color w:val="auto"/>
          <w:szCs w:val="21"/>
          <w:highlight w:val="none"/>
        </w:rPr>
      </w:pPr>
      <w:bookmarkStart w:id="4" w:name="_Toc4195"/>
      <w:r>
        <w:rPr>
          <w:rFonts w:ascii="宋体" w:hAnsi="宋体" w:cs="宋体" w:hint="eastAsia"/>
          <w:b/>
          <w:bCs/>
          <w:color w:val="auto"/>
          <w:szCs w:val="21"/>
          <w:highlight w:val="none"/>
        </w:rPr>
        <w:t>2.综合实力</w:t>
      </w:r>
      <w:bookmarkEnd w:id="4"/>
    </w:p>
    <w:p>
      <w:pPr>
        <w:spacing w:line="360" w:lineRule="auto"/>
        <w:ind w:firstLine="420"/>
        <w:rPr>
          <w:rFonts w:ascii="宋体" w:hAnsi="宋体" w:eastAsiaTheme="minorEastAsia" w:cs="宋体"/>
          <w:color w:val="auto"/>
          <w:szCs w:val="21"/>
          <w:highlight w:val="none"/>
        </w:rPr>
      </w:pPr>
      <w:r>
        <w:rPr>
          <w:rFonts w:ascii="宋体" w:hAnsi="宋体" w:cs="宋体" w:hint="eastAsia"/>
          <w:color w:val="auto"/>
          <w:szCs w:val="21"/>
          <w:highlight w:val="none"/>
        </w:rPr>
        <w:t>2.1</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年中任意连续三年的财务报表原件或复印件；</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2022或2023年</w:t>
      </w:r>
      <w:r>
        <w:rPr>
          <w:rFonts w:ascii="宋体" w:hAnsi="宋体" w:cs="宋体" w:hint="eastAsia"/>
          <w:color w:val="auto"/>
          <w:szCs w:val="21"/>
          <w:highlight w:val="none"/>
        </w:rPr>
        <w:t>度纳税信用等级证明。</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5" w:name="_Toc12575"/>
      <w:bookmarkStart w:id="6" w:name="_Toc41558660"/>
      <w:r>
        <w:rPr>
          <w:rFonts w:ascii="宋体" w:hAnsi="宋体" w:cs="宋体" w:hint="eastAsia"/>
          <w:b/>
          <w:bCs/>
          <w:color w:val="auto"/>
          <w:szCs w:val="21"/>
          <w:highlight w:val="none"/>
        </w:rPr>
        <w:br w:type="page"/>
      </w:r>
      <w:bookmarkEnd w:id="5"/>
      <w:bookmarkEnd w:id="6"/>
    </w:p>
    <w:p>
      <w:pPr>
        <w:spacing w:line="360" w:lineRule="auto"/>
        <w:outlineLvl w:val="1"/>
        <w:rPr>
          <w:rFonts w:ascii="宋体" w:hAnsi="宋体" w:cs="宋体"/>
          <w:b/>
          <w:bCs/>
          <w:color w:val="auto"/>
          <w:szCs w:val="21"/>
          <w:highlight w:val="none"/>
        </w:rPr>
      </w:pPr>
      <w:bookmarkStart w:id="7" w:name="_Toc9186"/>
      <w:r>
        <w:rPr>
          <w:rFonts w:ascii="宋体" w:hAnsi="宋体" w:cs="宋体" w:hint="eastAsia"/>
          <w:b/>
          <w:bCs/>
          <w:color w:val="auto"/>
          <w:szCs w:val="21"/>
          <w:highlight w:val="none"/>
        </w:rPr>
        <w:t>3.经营能力</w:t>
      </w:r>
      <w:bookmarkEnd w:id="7"/>
    </w:p>
    <w:p>
      <w:pPr>
        <w:widowControl/>
        <w:spacing w:line="360" w:lineRule="auto"/>
        <w:ind w:firstLine="420"/>
        <w:jc w:val="left"/>
        <w:rPr>
          <w:rFonts w:ascii="宋体" w:hAnsi="宋体" w:cs="宋体"/>
          <w:color w:val="auto"/>
          <w:kern w:val="0"/>
          <w:szCs w:val="21"/>
          <w:highlight w:val="none"/>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提供其本身及分子公司在中国年旅客吞吐量</w:t>
      </w: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年期间任意一年1500万人次机场、成都天府国际机场及港澳台机场的布局情况。</w:t>
      </w:r>
    </w:p>
    <w:p>
      <w:pPr>
        <w:widowControl/>
        <w:spacing w:line="360" w:lineRule="auto"/>
        <w:ind w:firstLine="420"/>
        <w:jc w:val="left"/>
        <w:rPr>
          <w:rFonts w:asciiTheme="minorEastAsia" w:eastAsiaTheme="minorEastAsia" w:hAnsiTheme="minorEastAsia" w:cs="宋体" w:hint="default"/>
          <w:color w:val="auto"/>
          <w:szCs w:val="21"/>
          <w:highlight w:val="none"/>
          <w:lang w:val="en-US"/>
        </w:rPr>
      </w:pP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年期间任意一年1500万人次及以上机场有：北京首都、北京大兴、上海浦东、广州、成都双流、</w:t>
      </w:r>
      <w:r>
        <w:rPr>
          <w:rFonts w:ascii="宋体" w:hAnsi="宋体" w:cs="宋体" w:hint="eastAsia"/>
          <w:color w:val="auto"/>
          <w:kern w:val="0"/>
          <w:szCs w:val="21"/>
          <w:highlight w:val="none"/>
          <w:lang w:val="en-US" w:eastAsia="zh-CN"/>
        </w:rPr>
        <w:t>成都天府、</w:t>
      </w:r>
      <w:r>
        <w:rPr>
          <w:rFonts w:ascii="宋体" w:hAnsi="宋体" w:cs="宋体" w:hint="eastAsia"/>
          <w:color w:val="auto"/>
          <w:kern w:val="0"/>
          <w:szCs w:val="21"/>
          <w:highlight w:val="none"/>
        </w:rPr>
        <w:t>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长春、大连、沈阳、济南、哈尔滨、兰州。</w:t>
      </w:r>
    </w:p>
    <w:p>
      <w:pPr>
        <w:widowControl/>
        <w:spacing w:line="360" w:lineRule="auto"/>
        <w:ind w:firstLine="420"/>
        <w:jc w:val="left"/>
        <w:rPr>
          <w:rFonts w:asciiTheme="minorEastAsia" w:eastAsiaTheme="minorEastAsia" w:hAnsiTheme="minorEastAsia" w:cs="宋体"/>
          <w:color w:val="auto"/>
          <w:szCs w:val="21"/>
          <w:highlight w:val="none"/>
        </w:rPr>
      </w:pPr>
    </w:p>
    <w:p>
      <w:pPr>
        <w:spacing w:line="360" w:lineRule="auto"/>
        <w:ind w:left="435"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3123"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p>
      <w:pPr>
        <w:pStyle w:val="a"/>
        <w:spacing w:line="360" w:lineRule="auto"/>
        <w:rPr>
          <w:rFonts w:ascii="宋体" w:hAnsi="宋体" w:cs="宋体"/>
          <w:color w:val="auto"/>
          <w:sz w:val="21"/>
          <w:szCs w:val="21"/>
          <w:highlight w:val="none"/>
        </w:rPr>
      </w:pPr>
    </w:p>
    <w:p>
      <w:pPr>
        <w:ind w:firstLine="84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3.1.2布局证明文件，包括但不限于合同复印件或业主方证明。</w:t>
      </w:r>
      <w:r>
        <w:rPr>
          <w:rFonts w:ascii="宋体" w:hAnsi="宋体" w:cs="宋体" w:hint="eastAsia"/>
          <w:color w:val="auto"/>
          <w:szCs w:val="21"/>
          <w:highlight w:val="none"/>
        </w:rPr>
        <w:br w:type="page"/>
      </w:r>
    </w:p>
    <w:p>
      <w:pPr>
        <w:spacing w:line="360" w:lineRule="auto"/>
        <w:rPr>
          <w:color w:val="auto"/>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及其分子公司在国内省会城市及直辖市市区、深圳市区、港澳台的开店经验</w:t>
      </w:r>
    </w:p>
    <w:p>
      <w:pPr>
        <w:spacing w:line="360" w:lineRule="auto"/>
        <w:ind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3.2.1布局列表</w:t>
      </w:r>
      <w:r>
        <w:rPr>
          <w:rFonts w:ascii="宋体" w:hAnsi="宋体" w:cs="宋体" w:hint="eastAsia"/>
          <w:color w:val="auto"/>
          <w:szCs w:val="21"/>
          <w:highlight w:val="none"/>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highlight w:val="none"/>
              </w:rPr>
            </w:pPr>
          </w:p>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位置</w:t>
            </w:r>
          </w:p>
        </w:tc>
        <w:tc>
          <w:tcPr>
            <w:tcW w:w="2025"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3123" w:type="dxa"/>
            <w:vAlign w:val="center"/>
          </w:tcPr>
          <w:p>
            <w:pPr>
              <w:widowControl/>
              <w:spacing w:line="360" w:lineRule="auto"/>
              <w:jc w:val="center"/>
              <w:rPr>
                <w:rFonts w:ascii="宋体" w:hAnsi="宋体" w:cs="宋体"/>
                <w:color w:val="auto"/>
                <w:szCs w:val="21"/>
                <w:highlight w:val="none"/>
              </w:rPr>
            </w:pP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w:t>
            </w: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成都宽窄巷子</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成都锦里</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420"/>
        <w:rPr>
          <w:color w:val="auto"/>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若没有市区从业经验，可不提供此方面材料。</w:t>
      </w:r>
    </w:p>
    <w:p>
      <w:pPr>
        <w:pStyle w:val="a"/>
        <w:rPr>
          <w:color w:val="auto"/>
          <w:highlight w:val="none"/>
        </w:rPr>
      </w:pPr>
    </w:p>
    <w:p>
      <w:pPr>
        <w:ind w:firstLine="420"/>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3.2.2布局证明文件，包括但不限于合同复印件或业主方证明。</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直营或者授权（加盟）经营的承诺书。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我公司租赁航站楼商业场地（标段号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 面积</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平方米）用于商业经营，现向贵司郑重承诺：品牌直营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加盟或代理经营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rPr>
        <w:t>需盖鲜章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年在国内机场业主方的获奖情况：提供获奖证书（公司级）等证明材料。</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color w:val="auto"/>
          <w:highlight w:val="none"/>
        </w:rPr>
      </w:pPr>
      <w:r>
        <w:rPr>
          <w:color w:val="auto"/>
          <w:highlight w:val="none"/>
        </w:rPr>
        <w:br w:type="page"/>
      </w:r>
    </w:p>
    <w:p>
      <w:pPr>
        <w:spacing w:line="360" w:lineRule="auto"/>
        <w:outlineLvl w:val="1"/>
        <w:rPr>
          <w:rFonts w:ascii="宋体" w:hAnsi="宋体" w:cs="宋体"/>
          <w:b/>
          <w:bCs/>
          <w:color w:val="auto"/>
          <w:szCs w:val="21"/>
          <w:highlight w:val="none"/>
        </w:rPr>
      </w:pPr>
      <w:bookmarkStart w:id="8" w:name="_Toc20879"/>
      <w:bookmarkStart w:id="9" w:name="_Toc41558662"/>
      <w:bookmarkStart w:id="10" w:name="_Hlk41556141"/>
      <w:bookmarkStart w:id="11" w:name="_Toc9087"/>
      <w:r>
        <w:rPr>
          <w:rFonts w:ascii="宋体" w:hAnsi="宋体" w:cs="宋体"/>
          <w:b/>
          <w:bCs/>
          <w:color w:val="auto"/>
          <w:szCs w:val="21"/>
          <w:highlight w:val="none"/>
        </w:rPr>
        <w:t>4</w:t>
      </w:r>
      <w:r>
        <w:rPr>
          <w:rFonts w:ascii="宋体" w:hAnsi="宋体" w:cs="宋体" w:hint="eastAsia"/>
          <w:b/>
          <w:bCs/>
          <w:color w:val="auto"/>
          <w:szCs w:val="21"/>
          <w:highlight w:val="none"/>
        </w:rPr>
        <w:t>.经营方案</w:t>
      </w:r>
      <w:bookmarkEnd w:id="8"/>
    </w:p>
    <w:p>
      <w:pPr>
        <w:spacing w:line="360" w:lineRule="auto"/>
        <w:rPr>
          <w:rFonts w:ascii="宋体" w:hAnsi="宋体" w:cs="宋体"/>
          <w:color w:val="auto"/>
          <w:szCs w:val="21"/>
          <w:highlight w:val="none"/>
        </w:rPr>
      </w:pPr>
      <w:bookmarkStart w:id="12" w:name="_Toc4063"/>
      <w:bookmarkStart w:id="13" w:name="_Toc27037"/>
      <w:r>
        <w:rPr>
          <w:rFonts w:ascii="宋体" w:hAnsi="宋体" w:cs="宋体" w:hint="eastAsia"/>
          <w:color w:val="auto"/>
          <w:szCs w:val="21"/>
          <w:highlight w:val="none"/>
        </w:rPr>
        <w:t>4</w:t>
      </w:r>
      <w:r>
        <w:rPr>
          <w:rFonts w:ascii="宋体" w:hAnsi="宋体" w:cs="宋体"/>
          <w:color w:val="auto"/>
          <w:szCs w:val="21"/>
          <w:highlight w:val="none"/>
        </w:rPr>
        <w:t>.1</w:t>
      </w:r>
      <w:r>
        <w:rPr>
          <w:rFonts w:ascii="宋体" w:hAnsi="宋体" w:cs="宋体" w:hint="eastAsia"/>
          <w:color w:val="auto"/>
          <w:szCs w:val="21"/>
          <w:highlight w:val="none"/>
        </w:rPr>
        <w:t>装修方案、效果图</w:t>
      </w:r>
      <w:bookmarkEnd w:id="12"/>
      <w:bookmarkEnd w:id="13"/>
      <w:r>
        <w:rPr>
          <w:rFonts w:ascii="宋体" w:hAnsi="宋体" w:cs="宋体" w:hint="eastAsia"/>
          <w:color w:val="auto"/>
          <w:szCs w:val="21"/>
          <w:highlight w:val="none"/>
        </w:rPr>
        <w:t>：</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品牌统一的装修风格效果图；或者针对</w:t>
      </w:r>
      <w:r>
        <w:rPr>
          <w:rFonts w:ascii="宋体" w:hAnsi="宋体" w:cs="宋体" w:hint="eastAsia"/>
          <w:color w:val="auto"/>
          <w:sz w:val="21"/>
          <w:szCs w:val="21"/>
          <w:highlight w:val="none"/>
          <w:lang w:eastAsia="zh-CN"/>
        </w:rPr>
        <w:t>招商</w:t>
      </w:r>
      <w:r>
        <w:rPr>
          <w:rFonts w:ascii="宋体" w:hAnsi="宋体" w:cs="宋体" w:hint="eastAsia"/>
          <w:color w:val="auto"/>
          <w:sz w:val="21"/>
          <w:szCs w:val="21"/>
          <w:highlight w:val="none"/>
        </w:rPr>
        <w:t>标段的装修方案及效果图。</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color w:val="auto"/>
          <w:sz w:val="21"/>
          <w:szCs w:val="21"/>
          <w:highlight w:val="none"/>
        </w:rPr>
        <w:t>4.2</w:t>
      </w:r>
      <w:r>
        <w:rPr>
          <w:rFonts w:ascii="宋体" w:hAnsi="宋体" w:cs="宋体" w:hint="eastAsia"/>
          <w:color w:val="auto"/>
          <w:sz w:val="21"/>
          <w:szCs w:val="21"/>
          <w:highlight w:val="none"/>
        </w:rPr>
        <w:t>本项目特色服务</w:t>
      </w:r>
    </w:p>
    <w:p>
      <w:pPr>
        <w:spacing w:line="360" w:lineRule="auto"/>
        <w:jc w:val="left"/>
        <w:rPr>
          <w:rFonts w:ascii="宋体" w:hAnsi="宋体" w:cs="宋体"/>
          <w:color w:val="auto"/>
          <w:szCs w:val="21"/>
          <w:highlight w:val="none"/>
        </w:rPr>
      </w:pPr>
      <w:r>
        <w:rPr>
          <w:rFonts w:ascii="宋体" w:hAnsi="宋体" w:cs="宋体" w:hint="eastAsia"/>
          <w:color w:val="auto"/>
          <w:szCs w:val="21"/>
          <w:highlight w:val="none"/>
        </w:rPr>
        <w:t>向旅客提供特色服务承诺书，并加盖单位公章。</w:t>
      </w: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.1日常管理制度；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.2应急制度（含投诉处理制度）；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.3库存管理制度。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须提供包含但不限于以上的管理制度。</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本项目运营方案</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运营方案包括但不限于产品构成、人均消费、销售预测等信息。</w:t>
      </w:r>
    </w:p>
    <w:p>
      <w:pPr>
        <w:spacing w:line="360" w:lineRule="auto"/>
        <w:rPr>
          <w:rFonts w:ascii="宋体" w:hAnsi="宋体" w:cs="宋体"/>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1"/>
        <w:rPr>
          <w:rFonts w:ascii="宋体" w:hAnsi="宋体" w:cs="宋体"/>
          <w:b/>
          <w:bCs/>
          <w:color w:val="auto"/>
          <w:szCs w:val="21"/>
          <w:highlight w:val="none"/>
        </w:rPr>
      </w:pPr>
      <w:bookmarkStart w:id="14" w:name="_Toc6984"/>
      <w:bookmarkStart w:id="15" w:name="_Toc17663"/>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4"/>
      <w:r>
        <w:rPr>
          <w:rFonts w:ascii="宋体" w:hAnsi="宋体" w:cs="宋体" w:hint="eastAsia"/>
          <w:b/>
          <w:bCs/>
          <w:color w:val="auto"/>
          <w:szCs w:val="21"/>
          <w:highlight w:val="none"/>
        </w:rPr>
        <w:t>情况</w:t>
      </w:r>
      <w:bookmarkEnd w:id="15"/>
    </w:p>
    <w:p>
      <w:pPr>
        <w:spacing w:line="360" w:lineRule="auto"/>
        <w:rPr>
          <w:rFonts w:ascii="宋体" w:hAnsi="宋体" w:cs="宋体"/>
          <w:color w:val="auto"/>
          <w:szCs w:val="21"/>
          <w:highlight w:val="none"/>
        </w:rPr>
      </w:pPr>
      <w:r>
        <w:rPr>
          <w:rFonts w:ascii="宋体" w:hAnsi="宋体" w:cs="宋体"/>
          <w:color w:val="auto"/>
          <w:szCs w:val="21"/>
          <w:highlight w:val="none"/>
        </w:rPr>
        <w:t>5.1</w:t>
      </w:r>
      <w:r>
        <w:rPr>
          <w:rFonts w:ascii="宋体" w:hAnsi="宋体" w:cs="宋体" w:hint="eastAsia"/>
          <w:color w:val="auto"/>
          <w:szCs w:val="21"/>
          <w:highlight w:val="none"/>
        </w:rPr>
        <w:t>品牌介绍：包括但不限于品牌档次、品牌产品特色、针对的客户群、商品价格区间、竞争品牌、在国内机场、省会城市及直辖市、深圳市区及港澳台知名商圈、商业体开设品牌店的情况等，国家商务部颁发的《中华老字号》、省级及以上《非物质文化遗产名录》证明（如有）。</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rPr>
          <w:rFonts w:ascii="宋体" w:hAnsi="宋体" w:cs="宋体"/>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公司在成都双流国际机场航站楼经营，由该公司参与成都双流国际机场T2航站楼招商标段综合百货类</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rPr>
          <w:rFonts w:ascii="宋体" w:hAnsi="宋体" w:cs="宋体"/>
          <w:color w:val="auto"/>
          <w:szCs w:val="21"/>
          <w:highlight w:val="none"/>
        </w:rPr>
      </w:pPr>
      <w:bookmarkStart w:id="16" w:name="_Toc25739"/>
      <w:bookmarkStart w:id="17" w:name="_Toc15781"/>
      <w:bookmarkStart w:id="18" w:name="_Toc8152"/>
      <w:bookmarkStart w:id="19" w:name="_Toc9567"/>
      <w:bookmarkStart w:id="20" w:name="_Toc9773"/>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5.3品牌在国内城市布局情况 </w:t>
      </w:r>
    </w:p>
    <w:p>
      <w:pPr>
        <w:spacing w:line="360" w:lineRule="auto"/>
        <w:rPr>
          <w:rFonts w:ascii="宋体" w:hAnsi="宋体" w:cs="宋体"/>
          <w:color w:val="auto"/>
          <w:sz w:val="18"/>
          <w:szCs w:val="18"/>
          <w:highlight w:val="none"/>
        </w:rPr>
      </w:pPr>
      <w:r>
        <w:rPr>
          <w:rFonts w:ascii="宋体" w:hAnsi="宋体" w:cs="宋体" w:hint="eastAsia"/>
          <w:color w:val="auto"/>
          <w:szCs w:val="21"/>
          <w:highlight w:val="none"/>
          <w:lang w:eastAsia="zh-CN"/>
        </w:rPr>
        <w:t>商家</w:t>
      </w:r>
      <w:r>
        <w:rPr>
          <w:rFonts w:ascii="宋体" w:hAnsi="宋体" w:cs="宋体"/>
          <w:color w:val="auto"/>
          <w:szCs w:val="21"/>
          <w:highlight w:val="none"/>
        </w:rPr>
        <w:t>投报品牌在国内城市布局数量的承诺函</w:t>
      </w:r>
      <w:r>
        <w:rPr>
          <w:rFonts w:ascii="宋体" w:hAnsi="宋体" w:cs="宋体" w:hint="eastAsia"/>
          <w:color w:val="auto"/>
          <w:szCs w:val="21"/>
          <w:highlight w:val="none"/>
        </w:rPr>
        <w:t>，布局列表证明文件，包括但不限于合同复印件或业主方证明。加盖单位公章。</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5.3.1</w:t>
      </w:r>
      <w:r>
        <w:rPr>
          <w:rFonts w:ascii="宋体" w:hAnsi="宋体" w:cs="宋体" w:hint="eastAsia"/>
          <w:color w:val="auto"/>
          <w:szCs w:val="21"/>
          <w:highlight w:val="none"/>
        </w:rPr>
        <w:t>布局列表</w:t>
      </w:r>
    </w:p>
    <w:tbl>
      <w:tblPr>
        <w:tblStyle w:val="TableNormal"/>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24"/>
        <w:gridCol w:w="2010"/>
        <w:gridCol w:w="2674"/>
        <w:gridCol w:w="2474"/>
      </w:tblGrid>
      <w:tr>
        <w:tblPrEx>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jc w:val="center"/>
        </w:trPr>
        <w:tc>
          <w:tcPr>
            <w:tcW w:w="132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201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经营店面位置</w:t>
            </w:r>
          </w:p>
        </w:tc>
        <w:tc>
          <w:tcPr>
            <w:tcW w:w="26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2474"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jc w:val="center"/>
        </w:trPr>
        <w:tc>
          <w:tcPr>
            <w:tcW w:w="1324" w:type="dxa"/>
            <w:vAlign w:val="center"/>
          </w:tcPr>
          <w:p>
            <w:pPr>
              <w:spacing w:line="360" w:lineRule="auto"/>
              <w:ind w:left="435"/>
              <w:rPr>
                <w:rFonts w:ascii="宋体" w:hAnsi="宋体" w:cs="宋体"/>
                <w:color w:val="auto"/>
                <w:szCs w:val="21"/>
                <w:highlight w:val="none"/>
              </w:rPr>
            </w:pPr>
            <w:r>
              <w:rPr>
                <w:rFonts w:ascii="宋体" w:hAnsi="宋体" w:cs="宋体" w:hint="eastAsia"/>
                <w:color w:val="auto"/>
                <w:szCs w:val="21"/>
                <w:highlight w:val="none"/>
              </w:rPr>
              <w:t>1</w:t>
            </w:r>
          </w:p>
        </w:tc>
        <w:tc>
          <w:tcPr>
            <w:tcW w:w="201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r>
              <w:rPr>
                <w:rFonts w:ascii="宋体" w:hAnsi="宋体" w:cs="宋体" w:hint="eastAsia"/>
                <w:color w:val="auto"/>
                <w:szCs w:val="21"/>
                <w:highlight w:val="none"/>
              </w:rPr>
              <w:t>店</w:t>
            </w:r>
          </w:p>
        </w:tc>
        <w:tc>
          <w:tcPr>
            <w:tcW w:w="26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成都IFS</w:t>
            </w:r>
          </w:p>
        </w:tc>
        <w:tc>
          <w:tcPr>
            <w:tcW w:w="24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jc w:val="center"/>
        </w:trPr>
        <w:tc>
          <w:tcPr>
            <w:tcW w:w="1324" w:type="dxa"/>
            <w:vAlign w:val="center"/>
          </w:tcPr>
          <w:p>
            <w:pPr>
              <w:spacing w:line="360" w:lineRule="auto"/>
              <w:ind w:left="435"/>
              <w:rPr>
                <w:rFonts w:ascii="宋体" w:hAnsi="宋体" w:cs="宋体"/>
                <w:color w:val="auto"/>
                <w:szCs w:val="21"/>
                <w:highlight w:val="none"/>
              </w:rPr>
            </w:pPr>
            <w:r>
              <w:rPr>
                <w:rFonts w:ascii="宋体" w:hAnsi="宋体" w:cs="宋体" w:hint="eastAsia"/>
                <w:color w:val="auto"/>
                <w:szCs w:val="21"/>
                <w:highlight w:val="none"/>
              </w:rPr>
              <w:t>2</w:t>
            </w:r>
          </w:p>
          <w:p>
            <w:pPr>
              <w:spacing w:line="360" w:lineRule="auto"/>
              <w:ind w:left="435"/>
              <w:jc w:val="center"/>
              <w:rPr>
                <w:rFonts w:ascii="宋体" w:hAnsi="宋体" w:cs="宋体"/>
                <w:color w:val="auto"/>
                <w:szCs w:val="21"/>
                <w:highlight w:val="none"/>
              </w:rPr>
            </w:pPr>
          </w:p>
        </w:tc>
        <w:tc>
          <w:tcPr>
            <w:tcW w:w="201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r>
              <w:rPr>
                <w:rFonts w:ascii="宋体" w:hAnsi="宋体" w:cs="宋体" w:hint="eastAsia"/>
                <w:color w:val="auto"/>
                <w:szCs w:val="21"/>
                <w:highlight w:val="none"/>
              </w:rPr>
              <w:t>店</w:t>
            </w:r>
          </w:p>
        </w:tc>
        <w:tc>
          <w:tcPr>
            <w:tcW w:w="26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北京SKP</w:t>
            </w:r>
          </w:p>
        </w:tc>
        <w:tc>
          <w:tcPr>
            <w:tcW w:w="24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jc w:val="center"/>
        </w:trPr>
        <w:tc>
          <w:tcPr>
            <w:tcW w:w="1324" w:type="dxa"/>
            <w:vAlign w:val="center"/>
          </w:tcPr>
          <w:p>
            <w:pPr>
              <w:spacing w:line="360" w:lineRule="auto"/>
              <w:ind w:left="435"/>
              <w:rPr>
                <w:rFonts w:ascii="宋体" w:hAnsi="宋体" w:cs="宋体"/>
                <w:color w:val="auto"/>
                <w:szCs w:val="21"/>
                <w:highlight w:val="none"/>
              </w:rPr>
            </w:pPr>
            <w:r>
              <w:rPr>
                <w:rFonts w:ascii="宋体" w:hAnsi="宋体" w:cs="宋体" w:hint="eastAsia"/>
                <w:color w:val="auto"/>
                <w:szCs w:val="21"/>
                <w:highlight w:val="none"/>
              </w:rPr>
              <w:t>3</w:t>
            </w:r>
          </w:p>
          <w:p>
            <w:pPr>
              <w:spacing w:line="360" w:lineRule="auto"/>
              <w:ind w:left="435"/>
              <w:jc w:val="center"/>
              <w:rPr>
                <w:rFonts w:ascii="宋体" w:hAnsi="宋体" w:cs="宋体"/>
                <w:color w:val="auto"/>
                <w:szCs w:val="21"/>
                <w:highlight w:val="none"/>
              </w:rPr>
            </w:pPr>
          </w:p>
        </w:tc>
        <w:tc>
          <w:tcPr>
            <w:tcW w:w="201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XXX店</w:t>
            </w:r>
          </w:p>
        </w:tc>
        <w:tc>
          <w:tcPr>
            <w:tcW w:w="26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上海恒隆广场</w:t>
            </w:r>
          </w:p>
        </w:tc>
        <w:tc>
          <w:tcPr>
            <w:tcW w:w="247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jc w:val="center"/>
        </w:trPr>
        <w:tc>
          <w:tcPr>
            <w:tcW w:w="1324" w:type="dxa"/>
            <w:vAlign w:val="center"/>
          </w:tcPr>
          <w:p>
            <w:pPr>
              <w:spacing w:line="360" w:lineRule="auto"/>
              <w:ind w:left="435"/>
              <w:rPr>
                <w:rFonts w:ascii="宋体" w:hAnsi="宋体" w:cs="宋体"/>
                <w:color w:val="auto"/>
                <w:szCs w:val="21"/>
                <w:highlight w:val="none"/>
              </w:rPr>
            </w:pPr>
            <w:r>
              <w:rPr>
                <w:rFonts w:ascii="宋体" w:hAnsi="宋体" w:cs="宋体" w:hint="eastAsia"/>
                <w:color w:val="auto"/>
                <w:szCs w:val="21"/>
                <w:highlight w:val="none"/>
              </w:rPr>
              <w:t>4</w:t>
            </w:r>
          </w:p>
          <w:p>
            <w:pPr>
              <w:spacing w:line="360" w:lineRule="auto"/>
              <w:ind w:left="435"/>
              <w:jc w:val="center"/>
              <w:rPr>
                <w:rFonts w:ascii="宋体" w:hAnsi="宋体" w:cs="宋体"/>
                <w:color w:val="auto"/>
                <w:szCs w:val="21"/>
                <w:highlight w:val="none"/>
              </w:rPr>
            </w:pPr>
          </w:p>
        </w:tc>
        <w:tc>
          <w:tcPr>
            <w:tcW w:w="2010"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674"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474"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jc w:val="center"/>
        </w:trPr>
        <w:tc>
          <w:tcPr>
            <w:tcW w:w="132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0"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674"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474"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color w:val="auto"/>
          <w:szCs w:val="21"/>
          <w:highlight w:val="none"/>
        </w:rPr>
        <w:t>投报品牌</w:t>
      </w:r>
      <w:r>
        <w:rPr>
          <w:rFonts w:ascii="宋体" w:hAnsi="宋体" w:cs="宋体" w:hint="eastAsia"/>
          <w:color w:val="auto"/>
          <w:szCs w:val="21"/>
          <w:highlight w:val="none"/>
        </w:rPr>
        <w:t>没有</w:t>
      </w:r>
      <w:r>
        <w:rPr>
          <w:rFonts w:ascii="宋体" w:hAnsi="宋体" w:cs="宋体"/>
          <w:color w:val="auto"/>
          <w:szCs w:val="21"/>
          <w:highlight w:val="none"/>
        </w:rPr>
        <w:t>在国内城市布局</w:t>
      </w:r>
      <w:r>
        <w:rPr>
          <w:rFonts w:ascii="宋体" w:hAnsi="宋体" w:cs="宋体" w:hint="eastAsia"/>
          <w:color w:val="auto"/>
          <w:szCs w:val="21"/>
          <w:highlight w:val="none"/>
        </w:rPr>
        <w:t>，可不提供此方面材料。</w:t>
      </w:r>
    </w:p>
    <w:p>
      <w:pPr>
        <w:pStyle w:val="a"/>
        <w:rPr>
          <w:color w:val="auto"/>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outlineLvl w:val="0"/>
        <w:rPr>
          <w:rFonts w:ascii="宋体" w:hAnsi="宋体" w:cs="宋体"/>
          <w:color w:val="auto"/>
          <w:szCs w:val="21"/>
          <w:highlight w:val="none"/>
        </w:rPr>
      </w:pPr>
      <w:bookmarkStart w:id="21" w:name="_Toc31508"/>
      <w:r>
        <w:rPr>
          <w:rFonts w:ascii="宋体" w:hAnsi="宋体" w:cs="宋体"/>
          <w:color w:val="auto"/>
          <w:szCs w:val="21"/>
          <w:highlight w:val="none"/>
        </w:rPr>
        <w:t>5.3.2</w:t>
      </w:r>
      <w:r>
        <w:rPr>
          <w:rFonts w:ascii="宋体" w:hAnsi="宋体" w:cs="宋体" w:hint="eastAsia"/>
          <w:color w:val="auto"/>
          <w:szCs w:val="21"/>
          <w:highlight w:val="none"/>
        </w:rPr>
        <w:t>布局列表的证明文件，包括但不限于合同复印件或业主方证明。</w:t>
      </w:r>
      <w:bookmarkEnd w:id="21"/>
    </w:p>
    <w:p>
      <w:pPr>
        <w:pStyle w:val="a"/>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5.4</w:t>
      </w:r>
      <w:r>
        <w:rPr>
          <w:rFonts w:ascii="宋体" w:hAnsi="宋体" w:cs="宋体" w:hint="eastAsia"/>
          <w:color w:val="auto"/>
          <w:szCs w:val="21"/>
          <w:highlight w:val="none"/>
        </w:rPr>
        <w:t>品牌坪效证明</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lang w:eastAsia="zh-CN"/>
        </w:rPr>
        <w:t>招商</w:t>
      </w:r>
      <w:r>
        <w:rPr>
          <w:rFonts w:ascii="宋体" w:hAnsi="宋体" w:cs="宋体" w:hint="eastAsia"/>
          <w:color w:val="auto"/>
          <w:sz w:val="21"/>
          <w:szCs w:val="21"/>
          <w:highlight w:val="none"/>
        </w:rPr>
        <w:t>品牌202</w:t>
      </w:r>
      <w:r>
        <w:rPr>
          <w:rFonts w:ascii="宋体" w:hAnsi="宋体" w:cs="宋体" w:hint="eastAsia"/>
          <w:color w:val="auto"/>
          <w:sz w:val="21"/>
          <w:szCs w:val="21"/>
          <w:highlight w:val="none"/>
          <w:lang w:val="en-US" w:eastAsia="zh-CN"/>
        </w:rPr>
        <w:t>3</w:t>
      </w:r>
      <w:r>
        <w:rPr>
          <w:rFonts w:ascii="宋体" w:hAnsi="宋体" w:cs="宋体" w:hint="eastAsia"/>
          <w:color w:val="auto"/>
          <w:sz w:val="21"/>
          <w:szCs w:val="21"/>
          <w:highlight w:val="none"/>
        </w:rPr>
        <w:t>年单店销售额坪效（单店年销售额</w:t>
      </w:r>
      <w:r>
        <w:rPr>
          <w:rFonts w:ascii="宋体" w:hAnsi="宋体" w:cs="宋体"/>
          <w:color w:val="auto"/>
          <w:sz w:val="21"/>
          <w:szCs w:val="21"/>
          <w:highlight w:val="none"/>
        </w:rPr>
        <w:t>/该单店面积所占平方米数</w:t>
      </w:r>
      <w:r>
        <w:rPr>
          <w:rFonts w:ascii="宋体" w:hAnsi="宋体" w:cs="宋体" w:hint="eastAsia"/>
          <w:color w:val="auto"/>
          <w:sz w:val="21"/>
          <w:szCs w:val="21"/>
          <w:highlight w:val="none"/>
        </w:rPr>
        <w:t>）证明材料。由场地出租方或商业综合体等第三方盖章的证明材料。</w:t>
      </w:r>
    </w:p>
    <w:p>
      <w:pPr>
        <w:spacing w:line="360" w:lineRule="auto"/>
        <w:outlineLvl w:val="0"/>
        <w:rPr>
          <w:rFonts w:ascii="宋体" w:hAnsi="宋体" w:cs="宋体"/>
          <w:color w:val="auto"/>
          <w:szCs w:val="21"/>
          <w:highlight w:val="none"/>
        </w:rPr>
      </w:pPr>
      <w:bookmarkStart w:id="22" w:name="_Toc27862"/>
      <w:bookmarkEnd w:id="22"/>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5.</w:t>
      </w:r>
      <w:bookmarkEnd w:id="16"/>
      <w:bookmarkEnd w:id="17"/>
      <w:bookmarkEnd w:id="18"/>
      <w:bookmarkEnd w:id="19"/>
      <w:bookmarkEnd w:id="20"/>
      <w:r>
        <w:rPr>
          <w:rFonts w:ascii="宋体" w:hAnsi="宋体" w:cs="宋体"/>
          <w:color w:val="auto"/>
          <w:szCs w:val="21"/>
          <w:highlight w:val="none"/>
        </w:rPr>
        <w:t>5</w:t>
      </w:r>
      <w:r>
        <w:rPr>
          <w:rFonts w:ascii="宋体" w:hAnsi="宋体" w:cs="宋体" w:hint="eastAsia"/>
          <w:color w:val="auto"/>
          <w:szCs w:val="21"/>
          <w:highlight w:val="none"/>
        </w:rPr>
        <w:t>品牌广告投放</w:t>
      </w:r>
    </w:p>
    <w:p>
      <w:pPr>
        <w:spacing w:line="360" w:lineRule="auto"/>
        <w:rPr>
          <w:rFonts w:ascii="宋体" w:hAnsi="宋体" w:cs="宋体"/>
          <w:color w:val="auto"/>
          <w:szCs w:val="21"/>
          <w:highlight w:val="none"/>
        </w:rPr>
      </w:pPr>
      <w:r>
        <w:rPr>
          <w:rFonts w:ascii="宋体" w:hAnsi="宋体" w:cs="宋体" w:hint="eastAsia"/>
          <w:color w:val="auto"/>
          <w:kern w:val="0"/>
          <w:szCs w:val="21"/>
          <w:highlight w:val="none"/>
        </w:rPr>
        <w:t>若品牌202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rPr>
        <w:t>-202</w:t>
      </w:r>
      <w:r>
        <w:rPr>
          <w:rFonts w:ascii="宋体" w:hAnsi="宋体" w:cs="宋体" w:hint="eastAsia"/>
          <w:color w:val="auto"/>
          <w:kern w:val="0"/>
          <w:szCs w:val="21"/>
          <w:highlight w:val="none"/>
          <w:lang w:val="en-US" w:eastAsia="zh-CN"/>
        </w:rPr>
        <w:t>3</w:t>
      </w:r>
      <w:r>
        <w:rPr>
          <w:rFonts w:ascii="宋体" w:hAnsi="宋体" w:cs="宋体" w:hint="eastAsia"/>
          <w:color w:val="auto"/>
          <w:kern w:val="0"/>
          <w:szCs w:val="21"/>
          <w:highlight w:val="none"/>
        </w:rPr>
        <w:t>年在央视等主流媒体、省会城市及直辖市、地方卫视、交通枢纽等投放广告的情况，须提供其相关时尚杂志广告、电视广告、平面广告、网络宣传等宣传推广渠道的图片、图册等资料。</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若没有，则无需提供。</w:t>
      </w:r>
    </w:p>
    <w:p>
      <w:pPr>
        <w:pStyle w:val="ListParagraph"/>
        <w:numPr>
          <w:ilvl w:val="0"/>
          <w:numId w:val="2"/>
        </w:num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outlineLvl w:val="1"/>
        <w:rPr>
          <w:rFonts w:ascii="宋体" w:hAnsi="宋体" w:cs="宋体"/>
          <w:b/>
          <w:bCs/>
          <w:color w:val="auto"/>
          <w:sz w:val="21"/>
          <w:szCs w:val="21"/>
          <w:highlight w:val="none"/>
        </w:rPr>
      </w:pPr>
      <w:bookmarkStart w:id="23" w:name="_Toc30930"/>
      <w:r>
        <w:rPr>
          <w:rFonts w:ascii="宋体" w:hAnsi="宋体" w:cs="宋体" w:hint="eastAsia"/>
          <w:b/>
          <w:bCs/>
          <w:color w:val="auto"/>
          <w:sz w:val="21"/>
          <w:szCs w:val="21"/>
          <w:highlight w:val="none"/>
        </w:rPr>
        <w:t>6.</w:t>
      </w:r>
      <w:r>
        <w:rPr>
          <w:rFonts w:ascii="宋体" w:hAnsi="宋体" w:cs="宋体" w:hint="eastAsia"/>
          <w:b/>
          <w:bCs/>
          <w:color w:val="auto"/>
          <w:sz w:val="21"/>
          <w:szCs w:val="21"/>
          <w:highlight w:val="none"/>
          <w:lang w:eastAsia="zh-CN"/>
        </w:rPr>
        <w:t>商家</w:t>
      </w:r>
      <w:r>
        <w:rPr>
          <w:rFonts w:ascii="宋体" w:hAnsi="宋体" w:cs="宋体" w:hint="eastAsia"/>
          <w:b/>
          <w:bCs/>
          <w:color w:val="auto"/>
          <w:sz w:val="21"/>
          <w:szCs w:val="21"/>
          <w:highlight w:val="none"/>
        </w:rPr>
        <w:t>须提供的其他资料</w:t>
      </w:r>
      <w:bookmarkEnd w:id="23"/>
    </w:p>
    <w:p>
      <w:pPr>
        <w:pStyle w:val="a"/>
        <w:rPr>
          <w:rFonts w:ascii="宋体" w:hAnsi="宋体" w:cs="宋体"/>
          <w:color w:val="auto"/>
          <w:sz w:val="21"/>
          <w:szCs w:val="21"/>
          <w:highlight w:val="none"/>
        </w:rPr>
      </w:pPr>
      <w:r>
        <w:rPr>
          <w:rFonts w:ascii="宋体" w:hAnsi="宋体" w:cs="宋体" w:hint="eastAsia"/>
          <w:color w:val="auto"/>
          <w:sz w:val="21"/>
          <w:szCs w:val="21"/>
          <w:highlight w:val="none"/>
        </w:rPr>
        <w:t>（1）对标承诺书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承诺对标</w:t>
      </w:r>
      <w:r>
        <w:rPr>
          <w:rFonts w:ascii="宋体" w:hAnsi="宋体" w:cs="宋体" w:hint="eastAsia"/>
          <w:color w:val="auto"/>
          <w:sz w:val="21"/>
          <w:szCs w:val="21"/>
          <w:highlight w:val="none"/>
          <w:lang w:eastAsia="zh-CN"/>
        </w:rPr>
        <w:t>招商</w:t>
      </w:r>
      <w:r>
        <w:rPr>
          <w:rFonts w:ascii="宋体" w:hAnsi="宋体" w:cs="宋体" w:hint="eastAsia"/>
          <w:color w:val="auto"/>
          <w:sz w:val="21"/>
          <w:szCs w:val="21"/>
          <w:highlight w:val="none"/>
        </w:rPr>
        <w:t>人认可的商圈、商业体的对标店铺名称、产品清单及价格。</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成都双流国际机场T</w:t>
      </w:r>
      <w:r>
        <w:rPr>
          <w:rFonts w:ascii="宋体" w:hAnsi="宋体" w:cs="宋体"/>
          <w:color w:val="auto"/>
          <w:sz w:val="21"/>
          <w:szCs w:val="21"/>
          <w:highlight w:val="none"/>
        </w:rPr>
        <w:t>2</w:t>
      </w:r>
      <w:r>
        <w:rPr>
          <w:rFonts w:ascii="宋体" w:hAnsi="宋体" w:cs="宋体" w:hint="eastAsia"/>
          <w:color w:val="auto"/>
          <w:sz w:val="21"/>
          <w:szCs w:val="21"/>
          <w:highlight w:val="none"/>
        </w:rPr>
        <w:t>航站楼招商综合百货类</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标段投报的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品牌与成都市区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（地址）的相同品牌店铺对标，在此销售的商品质量、规格、价格与对标店铺保持一致（详见附件商品清单）。</w:t>
      </w:r>
    </w:p>
    <w:p>
      <w:pPr>
        <w:pStyle w:val="a"/>
        <w:spacing w:line="360" w:lineRule="auto"/>
        <w:jc w:val="both"/>
        <w:rPr>
          <w:rFonts w:ascii="宋体" w:hAnsi="宋体" w:cs="宋体"/>
          <w:color w:val="auto"/>
          <w:sz w:val="21"/>
          <w:szCs w:val="21"/>
          <w:highlight w:val="none"/>
        </w:rPr>
      </w:pPr>
    </w:p>
    <w:p>
      <w:pPr>
        <w:pStyle w:val="a"/>
        <w:spacing w:line="360" w:lineRule="auto"/>
        <w:ind w:firstLine="420"/>
        <w:jc w:val="both"/>
        <w:rPr>
          <w:rFonts w:ascii="宋体" w:hAnsi="宋体" w:cs="宋体"/>
          <w:color w:val="auto"/>
          <w:sz w:val="21"/>
          <w:szCs w:val="21"/>
          <w:highlight w:val="none"/>
          <w:u w:val="single"/>
        </w:rPr>
      </w:pPr>
      <w:r>
        <w:rPr>
          <w:rFonts w:ascii="宋体" w:hAnsi="宋体" w:cs="宋体" w:hint="eastAsia"/>
          <w:color w:val="auto"/>
          <w:sz w:val="21"/>
          <w:szCs w:val="21"/>
          <w:highlight w:val="none"/>
        </w:rPr>
        <w:t>若我公司投报的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 xml:space="preserve">品牌在成都市区无相同品牌对标，则承诺对标 </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（省会城市、直辖市、深圳市区、港澳台）</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品牌店铺，在此销售的商品质量、规格、价格与对标店铺保持一致（详见附件商品清单）。</w:t>
      </w: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（需盖鲜章）</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bCs/>
          <w:color w:val="auto"/>
          <w:szCs w:val="21"/>
          <w:highlight w:val="none"/>
        </w:rPr>
      </w:pPr>
      <w:r>
        <w:rPr>
          <w:rFonts w:ascii="宋体" w:hAnsi="宋体" w:cs="宋体" w:hint="eastAsia"/>
          <w:color w:val="auto"/>
          <w:sz w:val="21"/>
          <w:szCs w:val="18"/>
          <w:highlight w:val="none"/>
        </w:rPr>
        <w:t>（</w:t>
      </w:r>
      <w:r>
        <w:rPr>
          <w:rFonts w:ascii="宋体" w:hAnsi="宋体" w:cs="宋体"/>
          <w:color w:val="auto"/>
          <w:sz w:val="21"/>
          <w:szCs w:val="18"/>
          <w:highlight w:val="none"/>
        </w:rPr>
        <w:t>2</w:t>
      </w:r>
      <w:r>
        <w:rPr>
          <w:rFonts w:ascii="宋体" w:hAnsi="宋体" w:cs="宋体" w:hint="eastAsia"/>
          <w:color w:val="auto"/>
          <w:sz w:val="21"/>
          <w:szCs w:val="18"/>
          <w:highlight w:val="none"/>
        </w:rPr>
        <w:t>）</w:t>
      </w:r>
      <w:r>
        <w:rPr>
          <w:rFonts w:ascii="宋体" w:hAnsi="宋体" w:cs="宋体" w:hint="eastAsia"/>
          <w:color w:val="auto"/>
          <w:sz w:val="21"/>
          <w:szCs w:val="18"/>
          <w:highlight w:val="none"/>
          <w:lang w:eastAsia="zh-CN"/>
        </w:rPr>
        <w:t>商家</w:t>
      </w:r>
      <w:r>
        <w:rPr>
          <w:rFonts w:ascii="宋体" w:hAnsi="宋体" w:cs="宋体" w:hint="eastAsia"/>
          <w:color w:val="auto"/>
          <w:sz w:val="21"/>
          <w:szCs w:val="18"/>
          <w:highlight w:val="none"/>
        </w:rPr>
        <w:t>认为需要提供的其他资料。</w:t>
      </w:r>
      <w:r>
        <w:rPr>
          <w:rFonts w:ascii="宋体" w:hAnsi="宋体" w:cs="宋体" w:hint="eastAsia"/>
          <w:bCs/>
          <w:color w:val="auto"/>
          <w:szCs w:val="21"/>
          <w:highlight w:val="none"/>
        </w:rPr>
        <w:br w:type="page"/>
      </w:r>
    </w:p>
    <w:p>
      <w:pPr>
        <w:spacing w:line="360" w:lineRule="auto"/>
        <w:outlineLvl w:val="1"/>
        <w:rPr>
          <w:rFonts w:ascii="宋体" w:hAnsi="宋体" w:cs="宋体"/>
          <w:b/>
          <w:bCs/>
          <w:color w:val="auto"/>
          <w:sz w:val="24"/>
          <w:highlight w:val="none"/>
        </w:rPr>
      </w:pPr>
      <w:bookmarkStart w:id="24" w:name="_Toc12614"/>
      <w:r>
        <w:rPr>
          <w:rFonts w:ascii="宋体" w:hAnsi="宋体" w:cs="宋体" w:hint="eastAsia"/>
          <w:b/>
          <w:bCs/>
          <w:color w:val="auto"/>
          <w:szCs w:val="21"/>
          <w:highlight w:val="none"/>
        </w:rPr>
        <w:t>二、</w:t>
      </w:r>
      <w:bookmarkEnd w:id="9"/>
      <w:bookmarkEnd w:id="10"/>
      <w:bookmarkEnd w:id="11"/>
      <w:bookmarkEnd w:id="24"/>
      <w:bookmarkStart w:id="25" w:name="_Toc12831"/>
      <w:r>
        <w:rPr>
          <w:rFonts w:ascii="宋体" w:hAnsi="宋体" w:cs="宋体" w:hint="eastAsia"/>
          <w:b/>
          <w:bCs/>
          <w:color w:val="auto"/>
          <w:sz w:val="24"/>
          <w:highlight w:val="none"/>
        </w:rPr>
        <w:t>商务方案分册</w:t>
      </w:r>
      <w:bookmarkEnd w:id="25"/>
    </w:p>
    <w:p>
      <w:pPr>
        <w:spacing w:line="360" w:lineRule="auto"/>
        <w:jc w:val="center"/>
        <w:rPr>
          <w:color w:val="auto"/>
          <w:highlight w:val="none"/>
        </w:rPr>
      </w:pPr>
      <w:r>
        <w:rPr>
          <w:rFonts w:ascii="宋体" w:hAnsi="宋体" w:cs="宋体" w:hint="eastAsia"/>
          <w:color w:val="auto"/>
          <w:szCs w:val="21"/>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（最长不超过5年）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tcPr>
          <w:p>
            <w:pPr>
              <w:pStyle w:val="a"/>
              <w:spacing w:line="360" w:lineRule="auto"/>
              <w:ind w:firstLine="2520"/>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的月保底经营费用随双流国际机场</w:t>
            </w:r>
            <w:r>
              <w:rPr>
                <w:rFonts w:asciiTheme="minorEastAsia" w:eastAsiaTheme="minorEastAsia" w:hAnsiTheme="minorEastAsia" w:cs="宋体" w:hint="eastAsia"/>
                <w:color w:val="auto"/>
                <w:szCs w:val="21"/>
                <w:highlight w:val="none"/>
              </w:rPr>
              <w:t>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w:t>
            </w:r>
            <w:r>
              <w:rPr>
                <w:rFonts w:ascii="宋体" w:hAnsi="宋体" w:cs="宋体" w:hint="eastAsia"/>
                <w:color w:val="auto"/>
                <w:szCs w:val="21"/>
                <w:highlight w:val="none"/>
              </w:rPr>
              <w:t>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2024-04-09T02:42:11Z</cp:lastPrinted>
  <dcterms:created xsi:type="dcterms:W3CDTF">2024-04-01T08:08:00Z</dcterms:created>
  <dcterms:modified xsi:type="dcterms:W3CDTF">2024-04-09T02:43:06Z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