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eastAsia="宋体" w:cs="Times New Roman" w:hint="eastAsia"/>
          <w:sz w:val="28"/>
          <w:szCs w:val="36"/>
          <w:lang w:val="en-US" w:eastAsia="zh-CN"/>
        </w:rPr>
      </w:pPr>
      <w:bookmarkStart w:id="0" w:name="_Toc15600"/>
      <w:r>
        <w:rPr>
          <w:rFonts w:hint="eastAsia"/>
          <w:sz w:val="28"/>
          <w:szCs w:val="36"/>
          <w:lang w:val="en-US" w:eastAsia="zh-CN"/>
        </w:rPr>
        <w:t>附件1-3：商家资料清单（自助娱乐机、</w:t>
      </w:r>
      <w:r>
        <w:rPr>
          <w:rFonts w:eastAsia="宋体" w:cs="Times New Roman" w:hint="eastAsia"/>
          <w:sz w:val="28"/>
          <w:szCs w:val="36"/>
          <w:lang w:val="en-US" w:eastAsia="zh-CN"/>
        </w:rPr>
        <w:t>网络平台出行服务接待点）</w:t>
      </w:r>
    </w:p>
    <w:p>
      <w:pPr>
        <w:pStyle w:val="NormalWeb"/>
        <w:shd w:val="clear" w:color="auto" w:fill="FFFFFF"/>
        <w:spacing w:before="0" w:beforeAutospacing="0" w:after="0" w:afterAutospacing="0" w:line="360" w:lineRule="auto"/>
        <w:jc w:val="center"/>
        <w:rPr>
          <w:rFonts w:ascii="宋体" w:eastAsia="宋体" w:hAnsi="宋体" w:cs="宋体" w:hint="eastAsia"/>
          <w:b/>
          <w:bCs w:val="0"/>
          <w:sz w:val="28"/>
          <w:szCs w:val="36"/>
          <w:lang w:val="en-US" w:eastAsia="zh-CN"/>
        </w:rPr>
      </w:pPr>
      <w:r>
        <w:rPr>
          <w:rFonts w:hint="eastAsia"/>
          <w:b/>
          <w:bCs w:val="0"/>
          <w:sz w:val="32"/>
          <w:szCs w:val="32"/>
          <w:lang w:val="en-US" w:eastAsia="zh-CN"/>
        </w:rPr>
        <w:t>商家</w:t>
      </w:r>
      <w:r>
        <w:rPr>
          <w:rFonts w:hint="eastAsia"/>
          <w:b/>
          <w:bCs w:val="0"/>
          <w:sz w:val="32"/>
          <w:szCs w:val="32"/>
        </w:rPr>
        <w:t>报名资料</w:t>
      </w:r>
      <w:r>
        <w:rPr>
          <w:b/>
          <w:bCs w:val="0"/>
          <w:sz w:val="32"/>
          <w:szCs w:val="32"/>
        </w:rPr>
        <w:t>清单</w:t>
      </w:r>
      <w:r>
        <w:rPr>
          <w:rFonts w:hint="eastAsia"/>
          <w:b/>
          <w:bCs w:val="0"/>
          <w:sz w:val="32"/>
          <w:szCs w:val="32"/>
          <w:lang w:eastAsia="zh-CN"/>
        </w:rPr>
        <w:t>（</w:t>
      </w:r>
      <w:r>
        <w:rPr>
          <w:rFonts w:hint="eastAsia"/>
          <w:b/>
          <w:bCs w:val="0"/>
          <w:sz w:val="28"/>
          <w:szCs w:val="36"/>
          <w:lang w:val="en-US" w:eastAsia="zh-CN"/>
        </w:rPr>
        <w:t>自助娱乐机、</w:t>
      </w:r>
      <w:r>
        <w:rPr>
          <w:rFonts w:ascii="宋体" w:eastAsia="宋体" w:hAnsi="宋体" w:cs="宋体" w:hint="eastAsia"/>
          <w:b/>
          <w:bCs w:val="0"/>
          <w:sz w:val="28"/>
          <w:szCs w:val="36"/>
          <w:lang w:val="en-US" w:eastAsia="zh-CN"/>
        </w:rPr>
        <w:t>网络平台出行服务接待点）</w:t>
      </w:r>
    </w:p>
    <w:p>
      <w:pPr>
        <w:pStyle w:val="a"/>
        <w:numPr>
          <w:ilvl w:val="0"/>
          <w:numId w:val="0"/>
        </w:numPr>
        <w:spacing w:line="360" w:lineRule="auto"/>
        <w:jc w:val="both"/>
        <w:outlineLvl w:val="1"/>
        <w:rPr>
          <w:color w:val="auto"/>
          <w:highlight w:val="none"/>
        </w:rPr>
      </w:pPr>
    </w:p>
    <w:p>
      <w:pPr>
        <w:pStyle w:val="a"/>
        <w:numPr>
          <w:ilvl w:val="0"/>
          <w:numId w:val="1"/>
        </w:numPr>
        <w:spacing w:line="360" w:lineRule="auto"/>
        <w:jc w:val="both"/>
        <w:outlineLvl w:val="1"/>
        <w:rPr>
          <w:color w:val="auto"/>
          <w:highlight w:val="none"/>
        </w:rPr>
      </w:pPr>
      <w:r>
        <w:rPr>
          <w:rFonts w:ascii="宋体" w:hAnsi="宋体" w:cs="宋体" w:hint="eastAsia"/>
          <w:b/>
          <w:bCs/>
          <w:color w:val="auto"/>
          <w:highlight w:val="none"/>
        </w:rPr>
        <w:t>技术方案分册目录</w:t>
      </w:r>
      <w:bookmarkEnd w:id="0"/>
      <w:bookmarkStart w:id="1" w:name="_Toc20296"/>
      <w:bookmarkEnd w:id="1"/>
    </w:p>
    <w:tbl>
      <w:tblPr>
        <w:tblStyle w:val="TableGrid"/>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06"/>
        <w:gridCol w:w="2534"/>
        <w:gridCol w:w="1520"/>
      </w:tblGrid>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一级目录</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二级目录</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三级目录</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备注</w:t>
            </w:r>
          </w:p>
        </w:tc>
        <w:tc>
          <w:tcPr>
            <w:tcW w:w="1520"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对应页码</w:t>
            </w: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1.基本情况</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基本资料及承诺书</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1.1合作申请书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按照合作申请书格式签字并加盖单位公章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1.2企业法人营业执照副本复印件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1.3法人、授权委托人身份证明复印件及授权委托书原件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1.4符合</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条件承诺书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无</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中不合格</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情形，需要提交承诺书，加盖单位公章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须在</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发布后从“国家企业信用信息公示系统”网站（www.gsxt.gov.cn）截图并加盖公章。</w:t>
            </w:r>
          </w:p>
          <w:p>
            <w:pPr>
              <w:spacing w:line="360" w:lineRule="auto"/>
              <w:rPr>
                <w:rFonts w:ascii="宋体" w:hAnsi="宋体" w:cs="宋体"/>
                <w:color w:val="auto"/>
                <w:szCs w:val="21"/>
                <w:highlight w:val="none"/>
              </w:rPr>
            </w:pP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2.综合实力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综合实力</w:t>
            </w:r>
          </w:p>
        </w:tc>
        <w:tc>
          <w:tcPr>
            <w:tcW w:w="2306" w:type="dxa"/>
            <w:vAlign w:val="center"/>
          </w:tcPr>
          <w:p>
            <w:pPr>
              <w:spacing w:line="360" w:lineRule="auto"/>
              <w:rPr>
                <w:rFonts w:ascii="宋体" w:hAnsi="宋体" w:eastAsiaTheme="minorEastAsia" w:cs="宋体"/>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年中任意连续三年的财务报表复印件（须有会计师事务所签章）</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其中包括：资产负债表、利润表，加盖单位公章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2.2 202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或202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年度纳税信用等级证明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3.经营能力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及其分子公司在中国年旅客吞吐量</w:t>
            </w:r>
            <w:r>
              <w:rPr>
                <w:rFonts w:ascii="宋体" w:hAnsi="宋体" w:cs="宋体" w:hint="eastAsia"/>
                <w:color w:val="auto"/>
                <w:szCs w:val="21"/>
                <w:highlight w:val="none"/>
                <w:lang w:eastAsia="zh-CN"/>
              </w:rPr>
              <w:t>2021-2023</w:t>
            </w:r>
            <w:r>
              <w:rPr>
                <w:rFonts w:ascii="宋体" w:hAnsi="宋体" w:cs="宋体" w:hint="eastAsia"/>
                <w:color w:val="auto"/>
                <w:szCs w:val="21"/>
                <w:highlight w:val="none"/>
              </w:rPr>
              <w:t>年期间任意一年1500万人次以上及港澳台机场的布局情况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3.1.2布局列表的证明文件，包括但不限于合同复印件或业主方证明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3.2.2布局列表证明文件，包括但不限于合同复印件或业主方证明。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3.3经营模式及</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提供品牌直营或授权经营模式的承诺书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年受国内机场业主方的获奖情况，提供获奖证书（公司级）</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清晰的证书复印件，加盖公章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hint="eastAsia"/>
                <w:color w:val="auto"/>
                <w:szCs w:val="21"/>
                <w:highlight w:val="none"/>
              </w:rPr>
            </w:pPr>
            <w:r>
              <w:rPr>
                <w:rFonts w:ascii="宋体" w:hAnsi="宋体" w:cs="宋体" w:hint="eastAsia"/>
                <w:color w:val="auto"/>
                <w:szCs w:val="21"/>
                <w:highlight w:val="none"/>
              </w:rPr>
              <w:t>4.经营方案</w:t>
            </w:r>
          </w:p>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4.1装修方案、效果图</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品牌统一的效果图；或者</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针对机场标段的效果图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szCs w:val="21"/>
                <w:highlight w:val="none"/>
              </w:rPr>
              <w:t>本项目特色服务</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向旅客提供特色服务承诺书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管理制度</w:t>
            </w:r>
          </w:p>
        </w:tc>
        <w:tc>
          <w:tcPr>
            <w:tcW w:w="2306" w:type="dxa"/>
            <w:vAlign w:val="center"/>
          </w:tcPr>
          <w:p>
            <w:pPr>
              <w:pStyle w:val="11"/>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.1日常管理制度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.2应急制度（含投诉处理制度）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4.3.3库存管理制度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default"/>
                <w:color w:val="auto"/>
                <w:szCs w:val="21"/>
                <w:highlight w:val="none"/>
              </w:rPr>
              <w:t>4.4</w:t>
            </w:r>
            <w:r>
              <w:rPr>
                <w:rFonts w:ascii="宋体" w:hAnsi="宋体" w:cs="宋体" w:hint="eastAsia"/>
                <w:color w:val="auto"/>
                <w:szCs w:val="21"/>
                <w:highlight w:val="none"/>
              </w:rPr>
              <w:t>品牌介绍</w:t>
            </w:r>
          </w:p>
        </w:tc>
        <w:tc>
          <w:tcPr>
            <w:tcW w:w="2306" w:type="dxa"/>
            <w:vAlign w:val="center"/>
          </w:tcPr>
          <w:p>
            <w:pPr>
              <w:spacing w:line="360" w:lineRule="auto"/>
              <w:rPr>
                <w:color w:val="auto"/>
                <w:highlight w:val="none"/>
              </w:rPr>
            </w:pPr>
            <w:r>
              <w:rPr>
                <w:rFonts w:asciiTheme="minorEastAsia" w:eastAsiaTheme="minorEastAsia" w:hAnsiTheme="minorEastAsia" w:cs="宋体" w:hint="eastAsia"/>
                <w:color w:val="auto"/>
                <w:szCs w:val="21"/>
                <w:highlight w:val="none"/>
                <w:lang w:val="en-US" w:eastAsia="zh-CN"/>
              </w:rPr>
              <w:t>4.4</w:t>
            </w:r>
            <w:r>
              <w:rPr>
                <w:rFonts w:asciiTheme="minorEastAsia" w:eastAsiaTheme="minorEastAsia" w:hAnsiTheme="minorEastAsia" w:cs="宋体" w:hint="eastAsia"/>
                <w:color w:val="auto"/>
                <w:szCs w:val="21"/>
                <w:highlight w:val="none"/>
              </w:rPr>
              <w:t>品牌的介绍资料，时须提供品牌定位证明资料，包括但不限于入驻当地机场或购物中心、热门商业街区及名称，产品价格，品牌介绍，大众点评</w:t>
            </w:r>
            <w:r>
              <w:rPr>
                <w:rFonts w:asciiTheme="minorEastAsia" w:eastAsiaTheme="minorEastAsia" w:hAnsiTheme="minorEastAsia" w:cs="宋体" w:hint="eastAsia"/>
                <w:color w:val="auto"/>
                <w:szCs w:val="21"/>
                <w:highlight w:val="none"/>
                <w:lang/>
              </w:rPr>
              <w:t>得分</w:t>
            </w:r>
            <w:r>
              <w:rPr>
                <w:rFonts w:asciiTheme="minorEastAsia" w:eastAsiaTheme="minorEastAsia" w:hAnsiTheme="minorEastAsia" w:cs="宋体" w:hint="eastAsia"/>
                <w:color w:val="auto"/>
                <w:szCs w:val="21"/>
                <w:highlight w:val="none"/>
              </w:rPr>
              <w:t>截图等。</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default"/>
                <w:color w:val="auto"/>
                <w:szCs w:val="21"/>
                <w:highlight w:val="none"/>
              </w:rPr>
              <w:t>4.5</w:t>
            </w:r>
            <w:r>
              <w:rPr>
                <w:rFonts w:ascii="宋体" w:hAnsi="宋体" w:cs="宋体" w:hint="eastAsia"/>
                <w:color w:val="auto"/>
                <w:szCs w:val="21"/>
                <w:highlight w:val="none"/>
              </w:rPr>
              <w:t>品牌权益证明</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4.5</w:t>
            </w:r>
            <w:r>
              <w:rPr>
                <w:rFonts w:ascii="宋体" w:hAnsi="宋体" w:cs="宋体" w:hint="eastAsia"/>
                <w:color w:val="auto"/>
                <w:szCs w:val="21"/>
                <w:highlight w:val="none"/>
              </w:rPr>
              <w:t>品牌的商标注册证及授权书。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经营多个品牌，需要分别提供品牌资料、注册证及授权书，并加盖单位公章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49"/>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default"/>
                <w:color w:val="auto"/>
                <w:szCs w:val="21"/>
                <w:highlight w:val="none"/>
              </w:rPr>
              <w:t>5</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需要提供的其他资料</w:t>
            </w:r>
          </w:p>
        </w:tc>
        <w:tc>
          <w:tcPr>
            <w:tcW w:w="7877" w:type="dxa"/>
            <w:gridSpan w:val="4"/>
            <w:vAlign w:val="center"/>
          </w:tcPr>
          <w:p>
            <w:pPr>
              <w:pStyle w:val="a"/>
              <w:rPr>
                <w:rFonts w:ascii="宋体" w:hAnsi="宋体" w:cs="宋体"/>
                <w:color w:val="auto"/>
                <w:sz w:val="21"/>
                <w:szCs w:val="21"/>
                <w:highlight w:val="none"/>
              </w:rPr>
            </w:pPr>
            <w:r>
              <w:rPr>
                <w:rFonts w:ascii="宋体" w:hAnsi="宋体" w:cs="宋体" w:hint="eastAsia"/>
                <w:color w:val="auto"/>
                <w:sz w:val="21"/>
                <w:szCs w:val="21"/>
                <w:highlight w:val="none"/>
              </w:rPr>
              <w:t>（1）对标承诺书</w:t>
            </w:r>
            <w:r>
              <w:rPr>
                <w:rFonts w:ascii="宋体" w:hAnsi="宋体" w:cs="宋体" w:hint="eastAsia"/>
                <w:color w:val="auto"/>
                <w:sz w:val="21"/>
                <w:szCs w:val="21"/>
                <w:highlight w:val="none"/>
                <w:lang/>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w:t>
            </w:r>
            <w:r>
              <w:rPr>
                <w:rFonts w:ascii="宋体" w:hAnsi="宋体" w:cs="宋体" w:hint="default"/>
                <w:color w:val="auto"/>
                <w:szCs w:val="21"/>
                <w:highlight w:val="none"/>
              </w:rPr>
              <w:t>2</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w:t>
            </w:r>
          </w:p>
        </w:tc>
      </w:tr>
    </w:tbl>
    <w:p>
      <w:pPr>
        <w:spacing w:line="360" w:lineRule="auto"/>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val="en-US" w:eastAsia="zh-CN"/>
              </w:rPr>
              <w:t>招商公告</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目录表进行编写，如未按要求编写所造成对结果的影响，由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1"/>
        <w:rPr>
          <w:rFonts w:ascii="宋体" w:hAnsi="宋体" w:cs="宋体"/>
          <w:b/>
          <w:bCs/>
          <w:color w:val="auto"/>
          <w:szCs w:val="21"/>
          <w:highlight w:val="none"/>
        </w:rPr>
      </w:pPr>
      <w:bookmarkStart w:id="2" w:name="_Toc31719"/>
      <w:r>
        <w:rPr>
          <w:rFonts w:ascii="宋体" w:hAnsi="宋体" w:cs="宋体" w:hint="eastAsia"/>
          <w:b/>
          <w:bCs/>
          <w:color w:val="auto"/>
          <w:szCs w:val="21"/>
          <w:highlight w:val="none"/>
        </w:rPr>
        <w:t>基本情况</w:t>
      </w:r>
      <w:bookmarkEnd w:id="2"/>
    </w:p>
    <w:p>
      <w:pPr>
        <w:spacing w:line="360" w:lineRule="auto"/>
        <w:ind w:firstLine="420"/>
        <w:jc w:val="left"/>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的条款和条件，递交完全符合</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的关于成都双流国际机场T2航站楼</w:t>
      </w:r>
      <w:r>
        <w:rPr>
          <w:rFonts w:ascii="宋体" w:hAnsi="宋体" w:cs="宋体" w:hint="eastAsia"/>
          <w:color w:val="auto"/>
          <w:szCs w:val="21"/>
          <w:highlight w:val="none"/>
          <w:lang w:val="en-US" w:eastAsia="zh-CN"/>
        </w:rPr>
        <w:t>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二、我们确认，我们已仔细阅读并研究了发布的</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，以及于发出的补充通知书（若有），我们知道必须放弃对上述文件和资料的所有条款提出含糊不清的问题的权利。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三、我们确认，我们将自行承担因参加本项目的活动而发生的任何费用。</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截止日起的九十（90）天。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制定的规则，并承诺按照这些规则履行我们的所有义务，包括：一旦</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六、我们确认，贵方有权利根据</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的有关规定，没收我方的保证金。</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七、我们在此与本合作申请书一并提交的作为</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八、在签署成都双流国际机场《候机楼经营合同》及合同附件以前，本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九、我们接受成都双流国际机场《候机楼经营合同》及合同附件中的条款和条件，并将严格履行。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十、我们在此保证，本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十一、我们证实，本合作申请书是我方</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中的陈述、品牌授权书、财务报表等资料的完整性、准确性、真实性完全负责。与本有关的正式通讯地址：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或</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授权代表签字：</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1.2 企业营业执照副本复印件</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0"/>
        <w:rPr>
          <w:rFonts w:ascii="宋体" w:hAnsi="宋体" w:cs="宋体"/>
          <w:color w:val="auto"/>
          <w:szCs w:val="21"/>
          <w:highlight w:val="none"/>
        </w:rPr>
      </w:pPr>
      <w:r>
        <w:rPr>
          <w:rFonts w:ascii="宋体" w:hAnsi="宋体" w:cs="宋体" w:hint="eastAsia"/>
          <w:bCs/>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)为我公司授权代表，参与成都双流国际机场T2航站楼招商工作，以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、与</w:t>
      </w:r>
      <w:r>
        <w:rPr>
          <w:rFonts w:ascii="宋体" w:hAnsi="宋体" w:cs="宋体" w:hint="eastAsia"/>
          <w:color w:val="auto"/>
          <w:szCs w:val="21"/>
          <w:highlight w:val="none"/>
          <w:lang w:val="en-US" w:eastAsia="zh-CN"/>
        </w:rPr>
        <w:t>招商人</w:t>
      </w:r>
      <w:r>
        <w:rPr>
          <w:rFonts w:ascii="宋体" w:hAnsi="宋体" w:cs="宋体" w:hint="eastAsia"/>
          <w:color w:val="auto"/>
          <w:szCs w:val="21"/>
          <w:highlight w:val="none"/>
        </w:rPr>
        <w:t>联系，并处理与有关的一切事务。授权期限自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color w:val="auto"/>
          <w:kern w:val="0"/>
          <w:szCs w:val="21"/>
          <w:highlight w:val="none"/>
        </w:rPr>
      </w:pPr>
      <w:r>
        <w:rPr>
          <w:rFonts w:ascii="宋体" w:hAnsi="宋体" w:cs="宋体" w:hint="eastAsia"/>
          <w:color w:val="auto"/>
          <w:szCs w:val="21"/>
          <w:highlight w:val="none"/>
        </w:rPr>
        <w:t>1.4 符合条件承诺书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符合条件承诺书</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我公司本着诚实守信的原则，保证如下：</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A.我公司银行资信证明中无不良记录；</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B.我公司未发生过重大群体性事件等影响社会稳定的敏感性事件；</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C.我公司在运营中未发生过安全事故（火灾、群体性食物中毒事故等）；</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D.我公司未发生过售卖的商品、食品质量问题等严重负面影响事件；</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E.我公司在全国机场未发生过空防安全责任事故；</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F.我公司在机场未因逃单行为、拖欠经营费用等违约行为而被终止过合同；</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G. 对于本次投报标段，我公司前期未因自身原因(排除F项)被终止过该标段合同。</w:t>
      </w:r>
    </w:p>
    <w:p>
      <w:pPr>
        <w:spacing w:line="360" w:lineRule="auto"/>
        <w:ind w:firstLine="315"/>
        <w:rPr>
          <w:rFonts w:ascii="宋体" w:hAnsi="宋体" w:cs="宋体" w:hint="eastAsia"/>
          <w:color w:val="auto"/>
          <w:szCs w:val="21"/>
          <w:highlight w:val="none"/>
        </w:rPr>
      </w:pPr>
      <w:r>
        <w:rPr>
          <w:rFonts w:ascii="宋体" w:hAnsi="宋体" w:cs="宋体" w:hint="eastAsia"/>
          <w:color w:val="auto"/>
          <w:szCs w:val="21"/>
          <w:highlight w:val="none"/>
        </w:rPr>
        <w:t>H.</w:t>
      </w:r>
      <w:r>
        <w:rPr>
          <w:rFonts w:ascii="宋体" w:hAnsi="宋体" w:cs="宋体" w:hint="eastAsia"/>
          <w:color w:val="auto"/>
          <w:szCs w:val="21"/>
          <w:highlight w:val="none"/>
          <w:lang w:eastAsia="zh-CN"/>
        </w:rPr>
        <w:t>我公司未在</w:t>
      </w:r>
      <w:r>
        <w:rPr>
          <w:rFonts w:ascii="宋体" w:hAnsi="宋体" w:cs="宋体" w:hint="eastAsia"/>
          <w:color w:val="auto"/>
          <w:szCs w:val="21"/>
          <w:highlight w:val="none"/>
        </w:rPr>
        <w:t>成都机场以往公开招商中经综合评审中选后，收到交纳签约保证金通知又放弃签约。</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ind w:firstLine="422"/>
        <w:rPr>
          <w:rFonts w:ascii="宋体" w:hAnsi="宋体" w:cs="宋体"/>
          <w:b/>
          <w:bCs/>
          <w:color w:val="auto"/>
          <w:szCs w:val="21"/>
          <w:highlight w:val="none"/>
        </w:rPr>
      </w:pPr>
    </w:p>
    <w:p>
      <w:pPr>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360" w:lineRule="auto"/>
        <w:outlineLvl w:val="1"/>
        <w:rPr>
          <w:rFonts w:ascii="宋体" w:hAnsi="宋体" w:cs="宋体"/>
          <w:b/>
          <w:bCs/>
          <w:color w:val="auto"/>
          <w:szCs w:val="21"/>
          <w:highlight w:val="none"/>
        </w:rPr>
      </w:pPr>
      <w:bookmarkStart w:id="3" w:name="_Toc16707"/>
      <w:r>
        <w:rPr>
          <w:rFonts w:ascii="宋体" w:hAnsi="宋体" w:cs="宋体" w:hint="eastAsia"/>
          <w:b/>
          <w:bCs/>
          <w:color w:val="auto"/>
          <w:szCs w:val="21"/>
          <w:highlight w:val="none"/>
        </w:rPr>
        <w:t>2.综合实力</w:t>
      </w:r>
      <w:bookmarkEnd w:id="3"/>
    </w:p>
    <w:p>
      <w:pPr>
        <w:spacing w:line="360" w:lineRule="auto"/>
        <w:ind w:firstLine="420"/>
        <w:rPr>
          <w:rFonts w:ascii="宋体" w:hAnsi="宋体" w:eastAsiaTheme="minorEastAsia" w:cs="宋体"/>
          <w:color w:val="auto"/>
          <w:szCs w:val="21"/>
          <w:highlight w:val="none"/>
        </w:rPr>
      </w:pPr>
      <w:r>
        <w:rPr>
          <w:rFonts w:ascii="宋体" w:hAnsi="宋体" w:cs="宋体" w:hint="eastAsia"/>
          <w:color w:val="auto"/>
          <w:szCs w:val="21"/>
          <w:highlight w:val="none"/>
        </w:rPr>
        <w:t>2.1</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年中任意连续三年的财务报表原件或复印件；</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2.2 202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或202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年度纳税信用等级证明。</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4" w:name="_Toc12575"/>
      <w:bookmarkStart w:id="5" w:name="_Toc41558660"/>
      <w:r>
        <w:rPr>
          <w:rFonts w:ascii="宋体" w:hAnsi="宋体" w:cs="宋体" w:hint="eastAsia"/>
          <w:b/>
          <w:bCs/>
          <w:color w:val="auto"/>
          <w:szCs w:val="21"/>
          <w:highlight w:val="none"/>
        </w:rPr>
        <w:br w:type="page"/>
      </w:r>
      <w:bookmarkEnd w:id="4"/>
      <w:bookmarkEnd w:id="5"/>
    </w:p>
    <w:p>
      <w:pPr>
        <w:spacing w:line="360" w:lineRule="auto"/>
        <w:outlineLvl w:val="1"/>
        <w:rPr>
          <w:rFonts w:ascii="宋体" w:hAnsi="宋体" w:cs="宋体"/>
          <w:b/>
          <w:bCs/>
          <w:color w:val="auto"/>
          <w:szCs w:val="21"/>
          <w:highlight w:val="none"/>
        </w:rPr>
      </w:pPr>
      <w:bookmarkStart w:id="6" w:name="_Toc27893"/>
      <w:r>
        <w:rPr>
          <w:rFonts w:ascii="宋体" w:hAnsi="宋体" w:cs="宋体" w:hint="eastAsia"/>
          <w:b/>
          <w:bCs/>
          <w:color w:val="auto"/>
          <w:szCs w:val="21"/>
          <w:highlight w:val="none"/>
        </w:rPr>
        <w:t>3.经营能力</w:t>
      </w:r>
      <w:bookmarkEnd w:id="6"/>
    </w:p>
    <w:p>
      <w:pPr>
        <w:widowControl/>
        <w:spacing w:line="360" w:lineRule="auto"/>
        <w:ind w:firstLine="420"/>
        <w:jc w:val="left"/>
        <w:rPr>
          <w:rFonts w:ascii="宋体" w:hAnsi="宋体" w:cs="宋体"/>
          <w:color w:val="auto"/>
          <w:kern w:val="0"/>
          <w:szCs w:val="21"/>
          <w:highlight w:val="none"/>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提供其本身及分子公司在中国年旅客吞吐量</w:t>
      </w: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年期间任意一年1500万人次机场、成都天府国际机场及港澳台机场的布局情况。</w:t>
      </w:r>
    </w:p>
    <w:p>
      <w:pPr>
        <w:widowControl/>
        <w:spacing w:line="360" w:lineRule="auto"/>
        <w:ind w:firstLine="420"/>
        <w:jc w:val="left"/>
        <w:rPr>
          <w:rFonts w:asciiTheme="minorEastAsia" w:eastAsiaTheme="minorEastAsia" w:hAnsiTheme="minorEastAsia" w:cs="宋体" w:hint="default"/>
          <w:color w:val="auto"/>
          <w:szCs w:val="21"/>
          <w:highlight w:val="none"/>
          <w:lang w:val="en-US"/>
        </w:rPr>
      </w:pP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年期间任意一年1500万人次及以上机场有：北京首都、北京大兴、上海浦东、广州、成都双流、</w:t>
      </w:r>
      <w:r>
        <w:rPr>
          <w:rFonts w:ascii="宋体" w:hAnsi="宋体" w:cs="宋体" w:hint="eastAsia"/>
          <w:color w:val="auto"/>
          <w:kern w:val="0"/>
          <w:szCs w:val="21"/>
          <w:highlight w:val="none"/>
          <w:lang w:val="en-US" w:eastAsia="zh-CN"/>
        </w:rPr>
        <w:t>成都天府、</w:t>
      </w:r>
      <w:r>
        <w:rPr>
          <w:rFonts w:ascii="宋体" w:hAnsi="宋体" w:cs="宋体" w:hint="eastAsia"/>
          <w:color w:val="auto"/>
          <w:kern w:val="0"/>
          <w:szCs w:val="21"/>
          <w:highlight w:val="none"/>
        </w:rPr>
        <w:t>深圳、昆明、西安、上海虹桥、重庆、杭州、南京、郑州、厦门、武汉、长沙、青岛、海口、乌鲁木齐、天津、贵阳、三亚</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长春、大连、沈阳、济南、哈尔滨、兰州。</w:t>
      </w:r>
    </w:p>
    <w:p>
      <w:pPr>
        <w:widowControl/>
        <w:spacing w:line="360" w:lineRule="auto"/>
        <w:ind w:firstLine="420"/>
        <w:jc w:val="left"/>
        <w:rPr>
          <w:rFonts w:asciiTheme="minorEastAsia" w:eastAsiaTheme="minorEastAsia" w:hAnsiTheme="minorEastAsia" w:cs="宋体"/>
          <w:color w:val="auto"/>
          <w:szCs w:val="21"/>
          <w:highlight w:val="none"/>
        </w:rPr>
      </w:pPr>
    </w:p>
    <w:p>
      <w:pPr>
        <w:spacing w:line="360" w:lineRule="auto"/>
        <w:ind w:left="435"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3.1.1布局列表</w:t>
      </w:r>
    </w:p>
    <w:tbl>
      <w:tblPr>
        <w:tblStyle w:val="TableNormal"/>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4"/>
        </w:trPr>
        <w:tc>
          <w:tcPr>
            <w:tcW w:w="94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3123" w:type="dxa"/>
            <w:vAlign w:val="center"/>
          </w:tcPr>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面积(平方米)</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若没有机场从业经验，可不提供此方面材料。</w:t>
      </w:r>
    </w:p>
    <w:p>
      <w:pPr>
        <w:pStyle w:val="a"/>
        <w:spacing w:line="360" w:lineRule="auto"/>
        <w:rPr>
          <w:rFonts w:ascii="宋体" w:hAnsi="宋体" w:cs="宋体"/>
          <w:color w:val="auto"/>
          <w:sz w:val="21"/>
          <w:szCs w:val="21"/>
          <w:highlight w:val="none"/>
        </w:rPr>
      </w:pPr>
    </w:p>
    <w:p>
      <w:pPr>
        <w:ind w:firstLine="84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3.1.2布局证明文件，包括但不限于合同复印件或业主方证明。</w:t>
      </w:r>
      <w:r>
        <w:rPr>
          <w:rFonts w:ascii="宋体" w:hAnsi="宋体" w:cs="宋体" w:hint="eastAsia"/>
          <w:color w:val="auto"/>
          <w:szCs w:val="21"/>
          <w:highlight w:val="none"/>
        </w:rPr>
        <w:br w:type="page"/>
      </w:r>
    </w:p>
    <w:p>
      <w:pPr>
        <w:spacing w:line="360" w:lineRule="auto"/>
        <w:rPr>
          <w:color w:val="auto"/>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及其分子公司在国内省会城市及直辖市市区、深圳市区、港澳台的开店经验</w:t>
      </w:r>
    </w:p>
    <w:p>
      <w:pPr>
        <w:spacing w:line="360" w:lineRule="auto"/>
        <w:ind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3.2.1布局列表</w:t>
      </w:r>
      <w:r>
        <w:rPr>
          <w:rFonts w:ascii="宋体" w:hAnsi="宋体" w:cs="宋体" w:hint="eastAsia"/>
          <w:color w:val="auto"/>
          <w:szCs w:val="21"/>
          <w:highlight w:val="none"/>
        </w:rPr>
        <w:t xml:space="preserve">：  </w:t>
      </w:r>
    </w:p>
    <w:tbl>
      <w:tblPr>
        <w:tblStyle w:val="TableNormal"/>
        <w:tblpPr w:leftFromText="180" w:rightFromText="180" w:vertAnchor="text" w:horzAnchor="page" w:tblpX="2431" w:tblpY="306"/>
        <w:tblOverlap w:val="never"/>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ind w:left="435"/>
              <w:jc w:val="center"/>
              <w:rPr>
                <w:rFonts w:ascii="宋体" w:hAnsi="宋体" w:cs="宋体"/>
                <w:color w:val="auto"/>
                <w:szCs w:val="21"/>
                <w:highlight w:val="none"/>
              </w:rPr>
            </w:pPr>
          </w:p>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经营店面</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位置</w:t>
            </w:r>
          </w:p>
        </w:tc>
        <w:tc>
          <w:tcPr>
            <w:tcW w:w="2025"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商圈街道或商业体名称</w:t>
            </w:r>
          </w:p>
        </w:tc>
        <w:tc>
          <w:tcPr>
            <w:tcW w:w="3123" w:type="dxa"/>
            <w:vAlign w:val="center"/>
          </w:tcPr>
          <w:p>
            <w:pPr>
              <w:widowControl/>
              <w:spacing w:line="360" w:lineRule="auto"/>
              <w:jc w:val="center"/>
              <w:rPr>
                <w:rFonts w:ascii="宋体" w:hAnsi="宋体" w:cs="宋体"/>
                <w:color w:val="auto"/>
                <w:szCs w:val="21"/>
                <w:highlight w:val="none"/>
              </w:rPr>
            </w:pP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w:t>
            </w: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(平方米)</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成都宽窄巷子</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成都锦里</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420"/>
        <w:rPr>
          <w:color w:val="auto"/>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若没有市区从业经验，可不提供此方面材料。</w:t>
      </w:r>
    </w:p>
    <w:p>
      <w:pPr>
        <w:pStyle w:val="a"/>
        <w:rPr>
          <w:color w:val="auto"/>
          <w:highlight w:val="none"/>
        </w:rPr>
      </w:pPr>
    </w:p>
    <w:p>
      <w:pPr>
        <w:ind w:firstLine="420"/>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3.2.2布局证明文件，包括但不限于合同复印件或业主方证明。</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3.3</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直营或者授权（加盟）经营的承诺书。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我公司租赁航站楼商业场地（标段号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 面积</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平方米）用于商业经营，现向贵司郑重承诺：品牌直营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加盟或代理经营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rPr>
        <w:t>需盖鲜章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年在国内机场业主方的获奖情况：提供获奖证书（公司级）等证明材料。</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color w:val="auto"/>
          <w:highlight w:val="none"/>
        </w:rPr>
      </w:pPr>
      <w:r>
        <w:rPr>
          <w:color w:val="auto"/>
          <w:highlight w:val="none"/>
        </w:rPr>
        <w:br w:type="page"/>
      </w:r>
    </w:p>
    <w:p>
      <w:pPr>
        <w:spacing w:line="360" w:lineRule="auto"/>
        <w:outlineLvl w:val="1"/>
        <w:rPr>
          <w:rFonts w:ascii="宋体" w:hAnsi="宋体" w:cs="宋体"/>
          <w:b/>
          <w:bCs/>
          <w:color w:val="auto"/>
          <w:szCs w:val="21"/>
          <w:highlight w:val="none"/>
        </w:rPr>
      </w:pPr>
      <w:bookmarkStart w:id="7" w:name="_Toc7740"/>
      <w:bookmarkStart w:id="8" w:name="_Hlk41556141"/>
      <w:bookmarkStart w:id="9" w:name="_Toc41558662"/>
      <w:bookmarkStart w:id="10" w:name="_Toc9087"/>
      <w:r>
        <w:rPr>
          <w:rFonts w:ascii="宋体" w:hAnsi="宋体" w:cs="宋体"/>
          <w:b/>
          <w:bCs/>
          <w:color w:val="auto"/>
          <w:szCs w:val="21"/>
          <w:highlight w:val="none"/>
        </w:rPr>
        <w:t>4</w:t>
      </w:r>
      <w:r>
        <w:rPr>
          <w:rFonts w:ascii="宋体" w:hAnsi="宋体" w:cs="宋体" w:hint="eastAsia"/>
          <w:b/>
          <w:bCs/>
          <w:color w:val="auto"/>
          <w:szCs w:val="21"/>
          <w:highlight w:val="none"/>
        </w:rPr>
        <w:t>.经营方案</w:t>
      </w:r>
      <w:bookmarkEnd w:id="7"/>
    </w:p>
    <w:p>
      <w:pPr>
        <w:spacing w:line="360" w:lineRule="auto"/>
        <w:rPr>
          <w:rFonts w:ascii="宋体" w:hAnsi="宋体" w:cs="宋体"/>
          <w:color w:val="auto"/>
          <w:szCs w:val="21"/>
          <w:highlight w:val="none"/>
        </w:rPr>
      </w:pPr>
      <w:bookmarkStart w:id="11" w:name="_Toc4063"/>
      <w:bookmarkStart w:id="12" w:name="_Toc27037"/>
      <w:r>
        <w:rPr>
          <w:rFonts w:ascii="宋体" w:hAnsi="宋体" w:cs="宋体" w:hint="eastAsia"/>
          <w:color w:val="auto"/>
          <w:szCs w:val="21"/>
          <w:highlight w:val="none"/>
        </w:rPr>
        <w:t>4</w:t>
      </w:r>
      <w:r>
        <w:rPr>
          <w:rFonts w:ascii="宋体" w:hAnsi="宋体" w:cs="宋体"/>
          <w:color w:val="auto"/>
          <w:szCs w:val="21"/>
          <w:highlight w:val="none"/>
        </w:rPr>
        <w:t>.1</w:t>
      </w:r>
      <w:r>
        <w:rPr>
          <w:rFonts w:ascii="宋体" w:hAnsi="宋体" w:cs="宋体" w:hint="eastAsia"/>
          <w:color w:val="auto"/>
          <w:szCs w:val="21"/>
          <w:highlight w:val="none"/>
        </w:rPr>
        <w:t>装修方案、效果图</w:t>
      </w:r>
      <w:bookmarkEnd w:id="11"/>
      <w:bookmarkEnd w:id="12"/>
      <w:r>
        <w:rPr>
          <w:rFonts w:ascii="宋体" w:hAnsi="宋体" w:cs="宋体" w:hint="eastAsia"/>
          <w:color w:val="auto"/>
          <w:szCs w:val="21"/>
          <w:highlight w:val="none"/>
        </w:rPr>
        <w:t>：</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品牌统一的效果图；或者针对标段的效果图。</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color w:val="auto"/>
          <w:sz w:val="21"/>
          <w:szCs w:val="21"/>
          <w:highlight w:val="none"/>
        </w:rPr>
        <w:t>4.2</w:t>
      </w:r>
      <w:r>
        <w:rPr>
          <w:rFonts w:ascii="宋体" w:hAnsi="宋体" w:cs="宋体" w:hint="eastAsia"/>
          <w:color w:val="auto"/>
          <w:sz w:val="21"/>
          <w:szCs w:val="21"/>
          <w:highlight w:val="none"/>
        </w:rPr>
        <w:t>本项目特色服务</w:t>
      </w:r>
    </w:p>
    <w:p>
      <w:pPr>
        <w:spacing w:line="360" w:lineRule="auto"/>
        <w:jc w:val="left"/>
        <w:rPr>
          <w:rFonts w:ascii="宋体" w:hAnsi="宋体" w:cs="宋体"/>
          <w:color w:val="auto"/>
          <w:szCs w:val="21"/>
          <w:highlight w:val="none"/>
        </w:rPr>
      </w:pPr>
      <w:r>
        <w:rPr>
          <w:rFonts w:ascii="宋体" w:hAnsi="宋体" w:cs="宋体" w:hint="eastAsia"/>
          <w:color w:val="auto"/>
          <w:szCs w:val="21"/>
          <w:highlight w:val="none"/>
        </w:rPr>
        <w:t>向旅客提供特色服务承诺书，并加盖单位公章。</w:t>
      </w: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.1日常管理制度；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.2应急制度（含投诉处理制度）；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.3库存管理制度。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须提供包含但不限于以上的管理制度。</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default"/>
          <w:color w:val="auto"/>
          <w:szCs w:val="21"/>
          <w:highlight w:val="none"/>
        </w:rPr>
        <w:t>4.4</w:t>
      </w:r>
      <w:r>
        <w:rPr>
          <w:rFonts w:ascii="宋体" w:hAnsi="宋体" w:cs="宋体" w:hint="eastAsia"/>
          <w:color w:val="auto"/>
          <w:szCs w:val="21"/>
          <w:highlight w:val="none"/>
        </w:rPr>
        <w:t>品牌介绍：</w:t>
      </w:r>
      <w:r>
        <w:rPr>
          <w:rFonts w:asciiTheme="minorEastAsia" w:eastAsiaTheme="minorEastAsia" w:hAnsiTheme="minorEastAsia" w:cs="宋体" w:hint="eastAsia"/>
          <w:color w:val="auto"/>
          <w:szCs w:val="21"/>
          <w:highlight w:val="none"/>
        </w:rPr>
        <w:t>品牌的介绍资料，时须提供品牌定位证明资料，包括但不限于入驻当地机场或购物中心、热门商业街区及名称，产品价格，品牌介绍，大众点评</w:t>
      </w:r>
      <w:r>
        <w:rPr>
          <w:rFonts w:asciiTheme="minorEastAsia" w:eastAsiaTheme="minorEastAsia" w:hAnsiTheme="minorEastAsia" w:cs="宋体" w:hint="eastAsia"/>
          <w:color w:val="auto"/>
          <w:szCs w:val="21"/>
          <w:highlight w:val="none"/>
          <w:lang/>
        </w:rPr>
        <w:t>得分</w:t>
      </w:r>
      <w:r>
        <w:rPr>
          <w:rFonts w:asciiTheme="minorEastAsia" w:eastAsiaTheme="minorEastAsia" w:hAnsiTheme="minorEastAsia" w:cs="宋体" w:hint="eastAsia"/>
          <w:color w:val="auto"/>
          <w:szCs w:val="21"/>
          <w:highlight w:val="none"/>
        </w:rPr>
        <w:t>截图等。</w:t>
      </w:r>
      <w:r>
        <w:rPr>
          <w:rFonts w:asciiTheme="minorEastAsia" w:eastAsiaTheme="minorEastAsia" w:hAnsiTheme="minorEastAsia" w:cs="宋体" w:hint="eastAsia"/>
          <w:color w:val="auto"/>
          <w:szCs w:val="21"/>
          <w:highlight w:val="none"/>
          <w:lang/>
        </w:rPr>
        <w:t>加盖单位公章。</w:t>
      </w:r>
    </w:p>
    <w:p>
      <w:pPr>
        <w:pStyle w:val="2"/>
        <w:numPr>
          <w:ilvl w:val="0"/>
          <w:numId w:val="3"/>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default"/>
          <w:color w:val="auto"/>
          <w:szCs w:val="21"/>
          <w:highlight w:val="none"/>
        </w:rPr>
        <w:t>4.5</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2"/>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u w:val="singl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公司在成都双流国际机场航站楼经营，由该公司参与成都双流国际机场T2航站楼招商，并签订经营合同。授权期限自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2"/>
        <w:spacing w:line="360" w:lineRule="auto"/>
        <w:ind w:left="420" w:firstLine="0"/>
        <w:rPr>
          <w:rFonts w:ascii="宋体" w:hAnsi="宋体" w:cs="宋体"/>
          <w:color w:val="auto"/>
          <w:szCs w:val="21"/>
          <w:highlight w:val="none"/>
        </w:rPr>
      </w:pPr>
    </w:p>
    <w:p>
      <w:pPr>
        <w:pStyle w:val="2"/>
        <w:spacing w:line="360" w:lineRule="auto"/>
        <w:ind w:left="420" w:firstLine="0"/>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rPr>
          <w:rFonts w:ascii="宋体" w:hAnsi="宋体" w:cs="宋体"/>
          <w:color w:val="auto"/>
          <w:szCs w:val="21"/>
          <w:highlight w:val="none"/>
        </w:rPr>
      </w:pPr>
      <w:bookmarkStart w:id="13" w:name="_Toc15781"/>
      <w:bookmarkStart w:id="14" w:name="_Toc9567"/>
      <w:bookmarkStart w:id="15" w:name="_Toc25739"/>
      <w:bookmarkStart w:id="16" w:name="_Toc8152"/>
      <w:bookmarkStart w:id="17" w:name="_Toc9773"/>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bookmarkEnd w:id="13"/>
      <w:bookmarkEnd w:id="14"/>
      <w:bookmarkEnd w:id="15"/>
      <w:bookmarkEnd w:id="16"/>
      <w:bookmarkEnd w:id="17"/>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a"/>
        <w:rPr>
          <w:rFonts w:ascii="宋体" w:hAnsi="宋体" w:cs="宋体"/>
          <w:b/>
          <w:bCs/>
          <w:color w:val="auto"/>
          <w:sz w:val="21"/>
          <w:szCs w:val="21"/>
          <w:highlight w:val="none"/>
        </w:rPr>
      </w:pPr>
      <w:r>
        <w:rPr>
          <w:rFonts w:ascii="宋体" w:hAnsi="宋体" w:cs="宋体"/>
          <w:b/>
          <w:bCs/>
          <w:color w:val="auto"/>
          <w:sz w:val="21"/>
          <w:szCs w:val="21"/>
          <w:highlight w:val="none"/>
        </w:rPr>
        <w:t>5</w:t>
      </w:r>
      <w:r>
        <w:rPr>
          <w:rFonts w:ascii="宋体" w:hAnsi="宋体" w:cs="宋体" w:hint="eastAsia"/>
          <w:b/>
          <w:bCs/>
          <w:color w:val="auto"/>
          <w:sz w:val="21"/>
          <w:szCs w:val="21"/>
          <w:highlight w:val="none"/>
          <w:lang/>
        </w:rPr>
        <w:t>.</w:t>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（1）对标承诺书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承诺对标人认可的商圈、商业体的对标店铺名称、产品清单及价格。</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成都双流国际机场T</w:t>
      </w:r>
      <w:r>
        <w:rPr>
          <w:rFonts w:ascii="宋体" w:hAnsi="宋体" w:cs="宋体"/>
          <w:color w:val="auto"/>
          <w:sz w:val="21"/>
          <w:szCs w:val="21"/>
          <w:highlight w:val="none"/>
        </w:rPr>
        <w:t>2</w:t>
      </w:r>
      <w:r>
        <w:rPr>
          <w:rFonts w:ascii="宋体" w:hAnsi="宋体" w:cs="宋体" w:hint="eastAsia"/>
          <w:color w:val="auto"/>
          <w:sz w:val="21"/>
          <w:szCs w:val="21"/>
          <w:highlight w:val="none"/>
        </w:rPr>
        <w:t>航站楼招商</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标段投报的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品牌与成都市区</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（地址）的相同品牌店铺对标，在此销售的商品质量、规格、价格与对标店铺保持一致（详见附件商品清单）。</w:t>
      </w:r>
    </w:p>
    <w:p>
      <w:pPr>
        <w:pStyle w:val="a"/>
        <w:spacing w:line="360" w:lineRule="auto"/>
        <w:jc w:val="both"/>
        <w:rPr>
          <w:rFonts w:ascii="宋体" w:hAnsi="宋体" w:cs="宋体"/>
          <w:color w:val="auto"/>
          <w:sz w:val="21"/>
          <w:szCs w:val="21"/>
          <w:highlight w:val="none"/>
        </w:rPr>
      </w:pPr>
    </w:p>
    <w:p>
      <w:pPr>
        <w:pStyle w:val="a"/>
        <w:spacing w:line="360" w:lineRule="auto"/>
        <w:ind w:firstLine="420"/>
        <w:jc w:val="both"/>
        <w:rPr>
          <w:rFonts w:ascii="宋体" w:hAnsi="宋体" w:cs="宋体"/>
          <w:color w:val="auto"/>
          <w:sz w:val="21"/>
          <w:szCs w:val="21"/>
          <w:highlight w:val="none"/>
          <w:u w:val="single"/>
        </w:rPr>
      </w:pPr>
      <w:r>
        <w:rPr>
          <w:rFonts w:ascii="宋体" w:hAnsi="宋体" w:cs="宋体" w:hint="eastAsia"/>
          <w:color w:val="auto"/>
          <w:sz w:val="21"/>
          <w:szCs w:val="21"/>
          <w:highlight w:val="none"/>
        </w:rPr>
        <w:t>若我公司投报的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 xml:space="preserve">品牌在成都市区无相同品牌对标，则承诺对标 </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（省会城市、直辖市、深圳市区、港澳台）</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品牌店铺，在此销售的商品质量、规格、价格与对标店铺保持一致（详见附件商品清单）。</w:t>
      </w: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（需盖鲜章）</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color w:val="auto"/>
          <w:sz w:val="21"/>
          <w:szCs w:val="21"/>
          <w:highlight w:val="none"/>
        </w:rPr>
      </w:pPr>
      <w:r>
        <w:rPr>
          <w:rFonts w:ascii="宋体" w:hAnsi="宋体" w:cs="宋体" w:hint="eastAsia"/>
          <w:color w:val="auto"/>
          <w:szCs w:val="21"/>
          <w:highlight w:val="none"/>
        </w:rPr>
        <w:t>（</w:t>
      </w:r>
      <w:r>
        <w:rPr>
          <w:rFonts w:ascii="宋体" w:hAnsi="宋体" w:cs="宋体" w:hint="default"/>
          <w:color w:val="auto"/>
          <w:szCs w:val="21"/>
          <w:highlight w:val="none"/>
        </w:rPr>
        <w:t>2</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w:t>
      </w:r>
    </w:p>
    <w:p>
      <w:pPr>
        <w:spacing w:line="360" w:lineRule="auto"/>
        <w:outlineLvl w:val="1"/>
        <w:rPr>
          <w:rFonts w:ascii="宋体" w:hAnsi="宋体" w:cs="宋体" w:hint="eastAsia"/>
          <w:b/>
          <w:bCs/>
          <w:color w:val="auto"/>
          <w:szCs w:val="21"/>
          <w:highlight w:val="none"/>
        </w:rPr>
      </w:pPr>
      <w:bookmarkStart w:id="18" w:name="_Toc28269"/>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b/>
          <w:bCs/>
          <w:color w:val="auto"/>
          <w:sz w:val="24"/>
          <w:highlight w:val="none"/>
        </w:rPr>
      </w:pPr>
      <w:r>
        <w:rPr>
          <w:rFonts w:ascii="宋体" w:hAnsi="宋体" w:cs="宋体" w:hint="eastAsia"/>
          <w:b/>
          <w:bCs/>
          <w:color w:val="auto"/>
          <w:szCs w:val="21"/>
          <w:highlight w:val="none"/>
        </w:rPr>
        <w:t>二、</w:t>
      </w:r>
      <w:bookmarkEnd w:id="8"/>
      <w:bookmarkEnd w:id="9"/>
      <w:bookmarkEnd w:id="10"/>
      <w:bookmarkEnd w:id="18"/>
      <w:bookmarkStart w:id="19" w:name="_Toc24349"/>
      <w:r>
        <w:rPr>
          <w:rFonts w:ascii="宋体" w:hAnsi="宋体" w:cs="宋体" w:hint="eastAsia"/>
          <w:b/>
          <w:bCs/>
          <w:color w:val="auto"/>
          <w:sz w:val="24"/>
          <w:highlight w:val="none"/>
        </w:rPr>
        <w:t>商务方案分册</w:t>
      </w:r>
      <w:bookmarkEnd w:id="19"/>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rPr>
        <w:t>休闲及其他类</w:t>
      </w:r>
      <w:r>
        <w:rPr>
          <w:rFonts w:ascii="宋体" w:hAnsi="宋体" w:cs="宋体" w:hint="eastAsia"/>
          <w:b/>
          <w:bCs/>
          <w:color w:val="auto"/>
          <w:sz w:val="28"/>
          <w:szCs w:val="28"/>
          <w:highlight w:val="none"/>
          <w:lang w:eastAsia="zh-CN"/>
        </w:rPr>
        <w:t>（</w:t>
      </w:r>
      <w:r>
        <w:rPr>
          <w:rFonts w:ascii="宋体" w:hAnsi="宋体" w:cs="宋体" w:hint="eastAsia"/>
          <w:b/>
          <w:bCs/>
          <w:color w:val="auto"/>
          <w:sz w:val="28"/>
          <w:szCs w:val="28"/>
          <w:highlight w:val="none"/>
          <w:lang w:val="en-US" w:eastAsia="zh-CN"/>
        </w:rPr>
        <w:t>自助娱乐机</w:t>
      </w:r>
      <w:r>
        <w:rPr>
          <w:rFonts w:ascii="宋体" w:hAnsi="宋体" w:cs="宋体" w:hint="eastAsia"/>
          <w:b/>
          <w:bCs/>
          <w:color w:val="auto"/>
          <w:sz w:val="28"/>
          <w:szCs w:val="28"/>
          <w:highlight w:val="none"/>
          <w:lang w:eastAsia="zh-CN"/>
        </w:rPr>
        <w:t>）</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商家</w:t>
            </w:r>
            <w:bookmarkStart w:id="20" w:name="_GoBack"/>
            <w:bookmarkEnd w:id="20"/>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u w:val="single"/>
              </w:rPr>
              <w:t xml:space="preserve">      年</w:t>
            </w:r>
            <w:r>
              <w:rPr>
                <w:rFonts w:ascii="宋体" w:hAnsi="宋体" w:cs="宋体" w:hint="eastAsia"/>
                <w:color w:val="auto"/>
                <w:szCs w:val="21"/>
                <w:highlight w:val="none"/>
              </w:rPr>
              <w:t xml:space="preserve">  （最长不超过5年）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万人次时月经营费用单价（</w:t>
            </w:r>
            <w:r>
              <w:rPr>
                <w:rFonts w:ascii="宋体" w:hAnsi="宋体" w:cs="宋体" w:hint="eastAsia"/>
                <w:color w:val="auto"/>
                <w:szCs w:val="21"/>
                <w:highlight w:val="none"/>
                <w:lang w:val="en-US" w:eastAsia="zh-CN"/>
              </w:rPr>
              <w:t>台</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台</w:t>
            </w:r>
            <w:r>
              <w:rPr>
                <w:rFonts w:ascii="宋体" w:hAnsi="宋体" w:cs="宋体" w:hint="eastAsia"/>
                <w:color w:val="auto"/>
                <w:szCs w:val="21"/>
                <w:highlight w:val="none"/>
              </w:rPr>
              <w:t>/月）</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pStyle w:val="a"/>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租金模式为月经营费用。</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的月经营费用随双流国际机场T2航站楼月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w:t>
            </w:r>
            <w:r>
              <w:rPr>
                <w:rFonts w:ascii="宋体" w:hAnsi="宋体" w:cs="宋体" w:hint="eastAsia"/>
                <w:color w:val="auto"/>
                <w:szCs w:val="21"/>
                <w:highlight w:val="none"/>
              </w:rPr>
              <w:t>进行调整。</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3、经营费用计算均以人民币为单位。</w:t>
            </w:r>
          </w:p>
        </w:tc>
      </w:tr>
    </w:tbl>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lang/>
        </w:rPr>
      </w:pP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rPr>
        <w:t>休闲及其他类</w:t>
      </w:r>
      <w:r>
        <w:rPr>
          <w:rFonts w:ascii="宋体" w:hAnsi="宋体" w:cs="宋体" w:hint="eastAsia"/>
          <w:b/>
          <w:bCs/>
          <w:color w:val="auto"/>
          <w:sz w:val="28"/>
          <w:szCs w:val="28"/>
          <w:highlight w:val="none"/>
          <w:lang w:eastAsia="zh-CN"/>
        </w:rPr>
        <w:t>（</w:t>
      </w:r>
      <w:r>
        <w:rPr>
          <w:rFonts w:ascii="仿宋" w:eastAsia="仿宋" w:hAnsi="仿宋" w:hint="eastAsia"/>
          <w:b w:val="0"/>
          <w:bCs w:val="0"/>
          <w:sz w:val="24"/>
          <w:szCs w:val="24"/>
          <w:lang w:val="en-US" w:eastAsia="zh-CN"/>
        </w:rPr>
        <w:t>网络平台出行服务接待点</w:t>
      </w:r>
      <w:r>
        <w:rPr>
          <w:rFonts w:ascii="宋体" w:hAnsi="宋体" w:cs="宋体" w:hint="eastAsia"/>
          <w:b/>
          <w:bCs/>
          <w:color w:val="auto"/>
          <w:sz w:val="28"/>
          <w:szCs w:val="28"/>
          <w:highlight w:val="none"/>
          <w:lang w:eastAsia="zh-CN"/>
        </w:rPr>
        <w:t>）</w:t>
      </w:r>
      <w:r>
        <w:rPr>
          <w:rFonts w:ascii="宋体" w:hAnsi="宋体" w:cs="宋体" w:hint="eastAsia"/>
          <w:b/>
          <w:bCs/>
          <w:color w:val="auto"/>
          <w:sz w:val="28"/>
          <w:szCs w:val="28"/>
          <w:highlight w:val="none"/>
        </w:rPr>
        <w:t>商务报价表</w:t>
      </w:r>
    </w:p>
    <w:p>
      <w:pPr>
        <w:pStyle w:val="a"/>
      </w:pP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商家</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u w:val="single"/>
              </w:rPr>
              <w:t xml:space="preserve">      年</w:t>
            </w:r>
            <w:r>
              <w:rPr>
                <w:rFonts w:ascii="宋体" w:hAnsi="宋体" w:cs="宋体" w:hint="eastAsia"/>
                <w:color w:val="auto"/>
                <w:szCs w:val="21"/>
                <w:highlight w:val="none"/>
              </w:rPr>
              <w:t xml:space="preserve">  （最长不超过5年）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万人次时月经营费用单价（元/</w:t>
            </w:r>
            <w:r>
              <w:rPr>
                <w:rFonts w:asciiTheme="minorEastAsia" w:eastAsiaTheme="minorEastAsia" w:hAnsiTheme="minorEastAsia" w:cs="宋体" w:hint="eastAsia"/>
                <w:color w:val="auto"/>
                <w:szCs w:val="21"/>
                <w:highlight w:val="none"/>
                <w:lang w:val="en-US" w:eastAsia="zh-CN"/>
              </w:rPr>
              <w:t>席位</w:t>
            </w:r>
            <w:r>
              <w:rPr>
                <w:rFonts w:asciiTheme="minorEastAsia" w:eastAsiaTheme="minorEastAsia" w:hAnsiTheme="minorEastAsia" w:cs="宋体" w:hint="eastAsia"/>
                <w:color w:val="auto"/>
                <w:szCs w:val="21"/>
                <w:highlight w:val="none"/>
              </w:rPr>
              <w:t>/月）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w:t>
            </w:r>
            <w:r>
              <w:rPr>
                <w:rFonts w:ascii="宋体" w:hAnsi="宋体" w:cs="宋体" w:hint="eastAsia"/>
                <w:color w:val="auto"/>
                <w:szCs w:val="21"/>
                <w:highlight w:val="none"/>
                <w:lang w:val="en-US" w:eastAsia="zh-CN"/>
              </w:rPr>
              <w:t>席位</w:t>
            </w:r>
            <w:r>
              <w:rPr>
                <w:rFonts w:ascii="宋体" w:hAnsi="宋体" w:cs="宋体" w:hint="eastAsia"/>
                <w:color w:val="auto"/>
                <w:szCs w:val="21"/>
                <w:highlight w:val="none"/>
              </w:rPr>
              <w:t>/月）</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pStyle w:val="a"/>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租金模式为月经营费用。</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的月经营费用随双流国际机场T2航站楼月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w:t>
            </w:r>
            <w:r>
              <w:rPr>
                <w:rFonts w:ascii="宋体" w:hAnsi="宋体" w:cs="宋体" w:hint="eastAsia"/>
                <w:color w:val="auto"/>
                <w:szCs w:val="21"/>
                <w:highlight w:val="none"/>
              </w:rPr>
              <w:t>进行调整。</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3、经营费用计算均以人民币为单位。</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abstractNum w:abstractNumId="3">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 w:type="paragraph" w:customStyle="1" w:styleId="2">
    <w:name w:val="列表段落2"/>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2014-10-29T12:08:00Z</dcterms:created>
  <dcterms:modified xsi:type="dcterms:W3CDTF">2024-04-07T09:48:37Z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