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tbl>
      <w:tblPr>
        <w:tblStyle w:val="TableGrid"/>
        <w:tblpPr w:leftFromText="180" w:rightFromText="180" w:vertAnchor="page" w:horzAnchor="page" w:tblpX="1267" w:tblpY="2318"/>
        <w:tblOverlap w:val="never"/>
        <w:tblW w:w="9562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183"/>
        <w:gridCol w:w="1467"/>
        <w:gridCol w:w="6113"/>
      </w:tblGrid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/>
        </w:trPr>
        <w:tc>
          <w:tcPr>
            <w:tcW w:w="7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投标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人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综合能力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分）</w:t>
            </w:r>
          </w:p>
          <w:p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财务状况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分）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投标方近三年承租经营项目情况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分）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提供近三年（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2021年1月1日至今）不低于500平方米用房或承租金额不低于200万/年的经营项目，每具有一个得2分，本项最高为9分，需提供相关合同或发票等证明为文件</w:t>
            </w:r>
            <w:r>
              <w:rPr>
                <w:rFonts w:asciiTheme="minorEastAsia" w:eastAsiaTheme="minorEastAsia" w:hAnsiTheme="minorEastAsia" w:cstheme="minorEastAsia" w:hint="eastAsia"/>
              </w:rPr>
              <w:t>。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799" w:type="dxa"/>
            <w:vMerge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83" w:type="dxa"/>
            <w:vMerge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投标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方近三年资产负债情况（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分）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资产负债率低于35%（含）得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</w:rPr>
              <w:t>35%-4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</w:rPr>
              <w:t>%（含）得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</w:rPr>
              <w:t>%-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</w:rPr>
              <w:t>5%（含）得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</w:rPr>
              <w:t>5%到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50</w:t>
            </w:r>
            <w:r>
              <w:rPr>
                <w:rFonts w:asciiTheme="minorEastAsia" w:eastAsiaTheme="minorEastAsia" w:hAnsiTheme="minorEastAsia" w:cstheme="minorEastAsia" w:hint="eastAsia"/>
              </w:rPr>
              <w:t>%（含）得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50</w:t>
            </w:r>
            <w:r>
              <w:rPr>
                <w:rFonts w:asciiTheme="minorEastAsia" w:eastAsiaTheme="minorEastAsia" w:hAnsiTheme="minorEastAsia" w:cstheme="minorEastAsia" w:hint="eastAsia"/>
              </w:rPr>
              <w:t>%到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55</w:t>
            </w:r>
            <w:r>
              <w:rPr>
                <w:rFonts w:asciiTheme="minorEastAsia" w:eastAsiaTheme="minorEastAsia" w:hAnsiTheme="minorEastAsia" w:cstheme="minorEastAsia" w:hint="eastAsia"/>
              </w:rPr>
              <w:t>%（含）得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</w:rPr>
              <w:t>5%到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60</w:t>
            </w:r>
            <w:r>
              <w:rPr>
                <w:rFonts w:asciiTheme="minorEastAsia" w:eastAsiaTheme="minorEastAsia" w:hAnsiTheme="minorEastAsia" w:cstheme="minorEastAsia" w:hint="eastAsia"/>
              </w:rPr>
              <w:t>%（含）得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</w:rPr>
              <w:t>高于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60</w:t>
            </w:r>
            <w:r>
              <w:rPr>
                <w:rFonts w:asciiTheme="minorEastAsia" w:eastAsiaTheme="minorEastAsia" w:hAnsiTheme="minorEastAsia" w:cstheme="minorEastAsia" w:hint="eastAsia"/>
              </w:rPr>
              <w:t>%不得分。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/>
        </w:trPr>
        <w:tc>
          <w:tcPr>
            <w:tcW w:w="799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公司资质</w:t>
            </w:r>
          </w:p>
          <w:p>
            <w:pPr>
              <w:pStyle w:val="a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  <w:t>9分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  <w:t>公司认证资质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  <w:t>9分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取得质量管理体系认证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ISO9001、环境管理体系认证ISO14001、职业健康安全管理体系认证ISO45001，每取得1个证书得3分，最高得9分。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/>
        </w:trPr>
        <w:tc>
          <w:tcPr>
            <w:tcW w:w="799" w:type="dxa"/>
            <w:vMerge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运营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服务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方案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分）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  <w:t>日常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管理方案（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  <w:t>8分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根据投标人管理方案、人员安排与管理方案、库房管理方案、员工工作流程方案，每个方案基础得分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1分，根据方案可落地程度及管理细节进行加分，本项最高为8分。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/>
        </w:trPr>
        <w:tc>
          <w:tcPr>
            <w:tcW w:w="799" w:type="dxa"/>
            <w:vMerge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21"/>
              </w:rPr>
            </w:pPr>
          </w:p>
        </w:tc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项目经营方案（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  <w:t>8分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项目经营方案、设备维护方案、运营期后期保障方案，每个方案基础得分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1分，根据方案可落地程度及管理细节进行加分，本项最高为8分。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/>
        </w:trPr>
        <w:tc>
          <w:tcPr>
            <w:tcW w:w="799" w:type="dxa"/>
            <w:vMerge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21"/>
              </w:rPr>
            </w:pPr>
          </w:p>
        </w:tc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风险控制措施和应急预案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4分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default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主要包含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服务投诉处理、消防应急预案及安全教育、现场突发情况处理预案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等内容。</w:t>
            </w:r>
          </w:p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方案严密，内容齐全且有针对性，得4分；</w:t>
            </w:r>
          </w:p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方案较为严密，内容基本齐全、较为合理得2-3分；</w:t>
            </w:r>
          </w:p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方案一般，内容基本齐全、基本可行得1分；</w:t>
            </w:r>
          </w:p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内容差或未提供不得分。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799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响应文件规范性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分）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响应文件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Theme="minorEastAsia" w:hint="eastAsia"/>
                <w:lang w:eastAsia="zh-CN"/>
              </w:rPr>
            </w:pPr>
            <w:r>
              <w:rPr>
                <w:rFonts w:hint="eastAsia"/>
              </w:rPr>
              <w:t>制作规范情况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1分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响应文件制作规范，除招商文件中相关要求以外，还应满足：1、响应文件从第一页开始逐页编页码；2、页码在下方；3、若分册的，每一册的页码重新从第一页排列，每一册目录单列。</w:t>
            </w:r>
            <w:r>
              <w:rPr>
                <w:rFonts w:asciiTheme="minorEastAsia" w:eastAsiaTheme="minorEastAsia" w:hAnsiTheme="minorEastAsia" w:cstheme="minorEastAsia" w:hint="eastAsia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</w:rPr>
              <w:t>没有细微偏差情形的得1分；有一项细微偏差扣0.5分，直至该项分值扣完为止。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7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商务评分（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分）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经营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业务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租金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分）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每年缴纳经营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业务业务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租金额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30分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经营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业务</w:t>
            </w:r>
            <w:r>
              <w:rPr>
                <w:rFonts w:asciiTheme="minorEastAsia" w:eastAsiaTheme="minorEastAsia" w:hAnsiTheme="minorEastAsia" w:cstheme="minorEastAsia" w:hint="eastAsia"/>
              </w:rPr>
              <w:t>租金底价为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183</w:t>
            </w:r>
            <w:r>
              <w:rPr>
                <w:rFonts w:asciiTheme="minorEastAsia" w:eastAsiaTheme="minorEastAsia" w:hAnsiTheme="minorEastAsia" w:cstheme="minorEastAsia" w:hint="eastAsia"/>
              </w:rPr>
              <w:t>万元/年，单位旅客计费标准底价0.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06</w:t>
            </w:r>
            <w:r>
              <w:rPr>
                <w:rFonts w:asciiTheme="minorEastAsia" w:eastAsiaTheme="minorEastAsia" w:hAnsiTheme="minorEastAsia" w:cstheme="minorEastAsia" w:hint="eastAsia"/>
              </w:rPr>
              <w:t>元/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人次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</w:rPr>
              <w:t>，若低于底价则取消评标资格。</w:t>
            </w:r>
          </w:p>
          <w:p>
            <w:p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评标基准价计算方法：评标基准价为通过本办法初步评审的所有有效投标人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/比选申请人报价的平均价。</w:t>
            </w:r>
          </w:p>
          <w:p>
            <w:pPr>
              <w:spacing w:line="240" w:lineRule="auto"/>
              <w:jc w:val="left"/>
              <w:rPr>
                <w:rFonts w:ascii="宋体" w:eastAsia="宋体" w:hAnsi="宋体" w:cs="宋体" w:hint="eastAsia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偏差率=100%*</w:t>
            </w:r>
            <w:r>
              <w:rPr>
                <w:rFonts w:ascii="宋体" w:eastAsia="宋体" w:hAnsi="宋体" w:cs="宋体" w:hint="eastAsia"/>
                <w:lang w:val="en-US" w:eastAsia="zh-CN"/>
              </w:rPr>
              <w:t>|</w:t>
            </w:r>
            <w:r>
              <w:rPr>
                <w:rFonts w:ascii="宋体" w:hAnsi="宋体" w:cs="宋体" w:hint="eastAsia"/>
                <w:lang w:val="en-US" w:eastAsia="zh-CN"/>
              </w:rPr>
              <w:t>投标人评标价-评标基准价</w:t>
            </w:r>
            <w:r>
              <w:rPr>
                <w:rFonts w:ascii="宋体" w:eastAsia="宋体" w:hAnsi="宋体" w:cs="宋体" w:hint="eastAsia"/>
                <w:lang w:val="en-US" w:eastAsia="zh-CN"/>
              </w:rPr>
              <w:t>|/评标基准价，偏差率保留两位小数（形如6.12%，小数点后第三位“四舍五入”）</w:t>
            </w:r>
          </w:p>
          <w:p>
            <w:pPr>
              <w:spacing w:line="240" w:lineRule="auto"/>
              <w:jc w:val="left"/>
              <w:rPr>
                <w:rFonts w:ascii="宋体" w:eastAsia="宋体" w:hAnsi="宋体" w:cs="宋体" w:hint="eastAsia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lang w:val="en-US" w:eastAsia="zh-CN"/>
              </w:rPr>
              <w:t>报价得分计算公式：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宋体" w:eastAsia="宋体" w:hAnsi="宋体" w:cs="宋体" w:hint="eastAsia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lang w:val="en-US" w:eastAsia="zh-CN"/>
              </w:rPr>
              <w:t>如果投标人/比选申请人的报价&gt;评标基准价，则报价得分=本项分值-偏差率*100*0.8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如果投标人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/比选申请人的报价</w:t>
            </w:r>
            <w:r>
              <w:rPr>
                <w:rFonts w:ascii="Arial" w:hAnsi="Arial" w:eastAsiaTheme="minorEastAsia" w:cs="Arial" w:hint="default"/>
                <w:lang w:val="en-US" w:eastAsia="zh-CN"/>
              </w:rPr>
              <w:t>≤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评标基准价，则报价得分=本项分值-偏差率*100*1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报价得分计算“四舍五入”，保留小数点后两位，小数点后第三位“四舍五入”。</w:t>
            </w:r>
            <w:r>
              <w:rPr>
                <w:rFonts w:asciiTheme="minorEastAsia" w:eastAsiaTheme="minorEastAsia" w:hAnsiTheme="minorEastAsia" w:cstheme="minorEastAsia" w:hint="eastAsia"/>
              </w:rPr>
              <w:t>扣完项目分为止。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799" w:type="dxa"/>
            <w:vMerge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旅客吞吐量单人次计费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分）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  <w:t>单位旅客计费标准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25分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13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/>
              </w:rPr>
            </w:pPr>
          </w:p>
        </w:tc>
      </w:tr>
    </w:tbl>
    <w:p>
      <w:pPr>
        <w:pStyle w:val="Header"/>
        <w:rPr>
          <w:rFonts w:ascii="宋体" w:eastAsia="宋体" w:hAnsi="宋体" w:cs="宋体" w:hint="eastAsia"/>
          <w:sz w:val="44"/>
          <w:szCs w:val="44"/>
          <w:lang w:val="en-US"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附件：</w:t>
      </w:r>
      <w:r>
        <w:rPr>
          <w:rFonts w:ascii="宋体" w:eastAsia="宋体" w:hAnsi="宋体" w:cs="宋体" w:hint="eastAsia"/>
          <w:sz w:val="28"/>
          <w:szCs w:val="28"/>
          <w:lang w:val="en-US" w:eastAsia="zh-CN"/>
        </w:rPr>
        <w:t xml:space="preserve">5 </w:t>
      </w:r>
      <w:r>
        <w:rPr>
          <w:rFonts w:ascii="宋体" w:eastAsia="宋体" w:hAnsi="宋体" w:cs="宋体" w:hint="eastAsia"/>
          <w:sz w:val="44"/>
          <w:szCs w:val="44"/>
          <w:lang w:val="en-US" w:eastAsia="zh-CN"/>
        </w:rPr>
        <w:t xml:space="preserve">      综合评分表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C1FC7"/>
    <w:multiLevelType w:val="singleLevel"/>
    <w:tmpl w:val="62DC1FC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2024-05-23T03:03:00Z</dcterms:created>
  <dcterms:modified xsi:type="dcterms:W3CDTF">2024-05-24T04:46:54Z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