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4360"/>
      <w:r>
        <w:rPr>
          <w:rFonts w:hint="eastAsia"/>
          <w:sz w:val="28"/>
          <w:szCs w:val="36"/>
          <w:lang w:val="en-US" w:eastAsia="zh-CN"/>
        </w:rPr>
        <w:t>附件1-2：商家资料清单（综合百货）</w:t>
      </w:r>
    </w:p>
    <w:p>
      <w:pPr>
        <w:jc w:val="center"/>
        <w:rPr>
          <w:rFonts w:asciiTheme="majorEastAsia" w:eastAsiaTheme="majorEastAsia" w:hAnsiTheme="majorEastAsia" w:cstheme="majorEastAsia" w:hint="eastAsia"/>
          <w:b/>
          <w:color w:val="auto"/>
          <w:sz w:val="84"/>
          <w:szCs w:val="72"/>
          <w:highlight w:val="none"/>
          <w:lang w:val="en-US" w:eastAsia="zh-CN"/>
        </w:rPr>
      </w:pPr>
      <w:bookmarkEnd w:id="0"/>
    </w:p>
    <w:p>
      <w:pPr>
        <w:jc w:val="center"/>
        <w:rPr>
          <w:rFonts w:asciiTheme="majorEastAsia" w:eastAsiaTheme="majorEastAsia" w:hAnsiTheme="majorEastAsia" w:cstheme="majorEastAsia" w:hint="eastAsia"/>
          <w:b/>
          <w:color w:val="auto"/>
          <w:sz w:val="84"/>
          <w:szCs w:val="72"/>
          <w:highlight w:val="none"/>
          <w:lang w:val="en-US" w:eastAsia="zh-CN"/>
        </w:rPr>
      </w:pPr>
    </w:p>
    <w:p>
      <w:pPr>
        <w:jc w:val="center"/>
        <w:rPr>
          <w:rFonts w:asciiTheme="majorEastAsia" w:eastAsiaTheme="majorEastAsia" w:hAnsiTheme="majorEastAsia" w:cstheme="majorEastAsia" w:hint="eastAsia"/>
          <w:b/>
          <w:color w:val="auto"/>
          <w:sz w:val="84"/>
          <w:szCs w:val="72"/>
          <w:highlight w:val="none"/>
        </w:rPr>
      </w:pPr>
      <w:r>
        <w:rPr>
          <w:rFonts w:asciiTheme="majorEastAsia" w:eastAsiaTheme="majorEastAsia" w:hAnsiTheme="majorEastAsia" w:cstheme="majorEastAsia" w:hint="eastAsia"/>
          <w:b/>
          <w:color w:val="auto"/>
          <w:sz w:val="84"/>
          <w:szCs w:val="72"/>
          <w:highlight w:val="none"/>
          <w:lang w:val="en-US" w:eastAsia="zh-CN"/>
        </w:rPr>
        <w:t>响应</w:t>
      </w:r>
      <w:r>
        <w:rPr>
          <w:rFonts w:asciiTheme="majorEastAsia" w:eastAsiaTheme="majorEastAsia" w:hAnsiTheme="majorEastAsia" w:cstheme="majorEastAsia" w:hint="eastAsia"/>
          <w:b/>
          <w:color w:val="auto"/>
          <w:sz w:val="84"/>
          <w:szCs w:val="72"/>
          <w:highlight w:val="none"/>
        </w:rPr>
        <w:t>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val="en-US" w:eastAsia="zh-CN"/>
        </w:rPr>
        <w:t>公司</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color w:val="auto"/>
          <w:highlight w:val="none"/>
        </w:rPr>
      </w:pPr>
      <w:r>
        <w:rPr>
          <w:color w:val="auto"/>
          <w:highlight w:val="none"/>
        </w:rPr>
        <w:br w:type="page"/>
      </w:r>
    </w:p>
    <w:p>
      <w:pPr>
        <w:spacing w:line="360" w:lineRule="auto"/>
        <w:rPr>
          <w:rFonts w:ascii="宋体" w:eastAsia="宋体" w:hAnsi="宋体" w:cs="宋体" w:hint="eastAsia"/>
          <w:b/>
          <w:bCs/>
          <w:color w:val="auto"/>
          <w:sz w:val="24"/>
          <w:highlight w:val="none"/>
          <w:lang w:eastAsia="zh-CN"/>
        </w:rPr>
      </w:pPr>
      <w:r>
        <w:rPr>
          <w:rFonts w:ascii="宋体" w:hAnsi="宋体" w:cs="宋体" w:hint="eastAsia"/>
          <w:b/>
          <w:bCs/>
          <w:color w:val="auto"/>
          <w:sz w:val="24"/>
          <w:highlight w:val="none"/>
          <w:lang w:eastAsia="zh-CN"/>
        </w:rPr>
        <w:t>响应文件</w:t>
      </w:r>
    </w:p>
    <w:p>
      <w:pPr>
        <w:pStyle w:val="a"/>
        <w:numPr>
          <w:ilvl w:val="0"/>
          <w:numId w:val="1"/>
        </w:numPr>
        <w:spacing w:line="360" w:lineRule="auto"/>
        <w:jc w:val="both"/>
        <w:outlineLvl w:val="1"/>
        <w:rPr>
          <w:rFonts w:ascii="宋体" w:hAnsi="宋体" w:cs="宋体"/>
          <w:b/>
          <w:bCs/>
          <w:color w:val="auto"/>
          <w:highlight w:val="none"/>
        </w:rPr>
      </w:pPr>
      <w:bookmarkStart w:id="1" w:name="_Toc15515"/>
      <w:r>
        <w:rPr>
          <w:rFonts w:ascii="宋体" w:hAnsi="宋体" w:cs="宋体" w:hint="eastAsia"/>
          <w:b/>
          <w:bCs/>
          <w:color w:val="auto"/>
          <w:highlight w:val="none"/>
        </w:rPr>
        <w:t>技术方案分册目录</w:t>
      </w:r>
      <w:bookmarkEnd w:id="1"/>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90"/>
        <w:gridCol w:w="1620"/>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一级目录</w:t>
            </w: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二级目录</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三级目录</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备注</w:t>
            </w:r>
          </w:p>
        </w:tc>
        <w:tc>
          <w:tcPr>
            <w:tcW w:w="1704" w:type="dxa"/>
            <w:vAlign w:val="center"/>
          </w:tcPr>
          <w:p>
            <w:pPr>
              <w:spacing w:line="360" w:lineRule="auto"/>
              <w:ind w:firstLine="210"/>
              <w:rPr>
                <w:rFonts w:ascii="宋体" w:hAnsi="宋体" w:cstheme="minorEastAsia"/>
                <w:color w:val="auto"/>
                <w:szCs w:val="21"/>
                <w:highlight w:val="none"/>
              </w:rPr>
            </w:pPr>
            <w:r>
              <w:rPr>
                <w:rFonts w:ascii="宋体" w:hAnsi="宋体"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1.基本情况</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基本资料及承诺书</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1.1合作申请书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按照合作申请书格式签字并加盖单位公章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1.2企业法人营业执照副本复印件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1.3法人、授权委托人身份证明复印件及授权委托书原件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1.4符合</w:t>
            </w:r>
            <w:r>
              <w:rPr>
                <w:rFonts w:ascii="宋体" w:hAnsi="宋体" w:cstheme="minorEastAsia" w:hint="eastAsia"/>
                <w:color w:val="auto"/>
                <w:szCs w:val="21"/>
                <w:highlight w:val="none"/>
                <w:lang w:eastAsia="zh-CN"/>
              </w:rPr>
              <w:t>招商条件</w:t>
            </w:r>
            <w:r>
              <w:rPr>
                <w:rFonts w:ascii="宋体" w:hAnsi="宋体" w:cstheme="minorEastAsia" w:hint="eastAsia"/>
                <w:color w:val="auto"/>
                <w:szCs w:val="21"/>
                <w:highlight w:val="none"/>
              </w:rPr>
              <w:t>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若</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无</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中不合格</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情形，需要提交承诺书，加盖单位公章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1.5未被列为严重违法失信企业名单（黑名单）截图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须在</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发布后从“国家企业信用信息公示系统”网站（www.gsxt.gov.cn）截图并加盖单位公章。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1.6保密承诺书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jc w:val="center"/>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lang w:val="en-US" w:eastAsia="zh-CN"/>
              </w:rPr>
              <w:t>1.7</w:t>
            </w:r>
            <w:r>
              <w:rPr>
                <w:rFonts w:ascii="宋体" w:hAnsi="宋体" w:cstheme="minorEastAsia" w:hint="eastAsia"/>
                <w:color w:val="auto"/>
                <w:szCs w:val="21"/>
                <w:highlight w:val="none"/>
              </w:rPr>
              <w:t>对标承诺书</w:t>
            </w:r>
          </w:p>
        </w:tc>
        <w:tc>
          <w:tcPr>
            <w:tcW w:w="162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2.综合实力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综合实力</w:t>
            </w:r>
          </w:p>
        </w:tc>
        <w:tc>
          <w:tcPr>
            <w:tcW w:w="2390" w:type="dxa"/>
            <w:vAlign w:val="center"/>
          </w:tcPr>
          <w:p>
            <w:pPr>
              <w:spacing w:line="360" w:lineRule="auto"/>
              <w:rPr>
                <w:rFonts w:ascii="宋体" w:hAnsi="宋体" w:eastAsiaTheme="minorEastAsia" w:cstheme="minorEastAsia" w:hint="eastAsia"/>
                <w:color w:val="auto"/>
                <w:szCs w:val="21"/>
                <w:highlight w:val="none"/>
                <w:lang w:eastAsia="zh-CN"/>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val="en-US" w:eastAsia="zh-CN"/>
              </w:rPr>
              <w:t>2021-2023</w:t>
            </w:r>
            <w:r>
              <w:rPr>
                <w:rFonts w:asciiTheme="minorEastAsia" w:eastAsiaTheme="minorEastAsia" w:hAnsiTheme="minorEastAsia" w:cs="宋体" w:hint="eastAsia"/>
                <w:color w:val="auto"/>
                <w:szCs w:val="21"/>
                <w:highlight w:val="none"/>
              </w:rPr>
              <w:t>年连续三年的财务报表复印件（须有会计师事务所签章</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color w:val="auto"/>
                <w:szCs w:val="21"/>
                <w:highlight w:val="none"/>
                <w:lang w:val="en-US" w:eastAsia="zh-CN"/>
              </w:rPr>
              <w:t>若商家成立时间少于该规定年份的，应提供成立以来的经审计的财务报告。</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其中包括：资产负债表、利润表</w:t>
            </w:r>
            <w:r>
              <w:rPr>
                <w:rFonts w:ascii="宋体" w:hAnsi="宋体" w:cstheme="minorEastAsia" w:hint="eastAsia"/>
                <w:color w:val="auto"/>
                <w:szCs w:val="21"/>
                <w:highlight w:val="none"/>
                <w:lang w:eastAsia="zh-CN"/>
              </w:rPr>
              <w:t>、</w:t>
            </w:r>
            <w:r>
              <w:rPr>
                <w:rFonts w:ascii="宋体" w:hAnsi="宋体" w:cstheme="minorEastAsia" w:hint="eastAsia"/>
                <w:color w:val="auto"/>
                <w:szCs w:val="21"/>
                <w:highlight w:val="none"/>
                <w:lang w:val="en-US" w:eastAsia="zh-CN"/>
              </w:rPr>
              <w:t>现金流量表</w:t>
            </w: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w:t>
            </w:r>
            <w:r>
              <w:rPr>
                <w:rFonts w:ascii="宋体" w:hAnsi="宋体" w:cstheme="minorEastAsia" w:hint="eastAsia"/>
                <w:color w:val="auto"/>
                <w:szCs w:val="21"/>
                <w:highlight w:val="none"/>
                <w:lang w:val="en-US" w:eastAsia="zh-CN"/>
              </w:rPr>
              <w:t>2 2023</w:t>
            </w:r>
            <w:r>
              <w:rPr>
                <w:rFonts w:ascii="宋体" w:hAnsi="宋体" w:cstheme="minorEastAsia" w:hint="eastAsia"/>
                <w:color w:val="auto"/>
                <w:szCs w:val="21"/>
                <w:highlight w:val="none"/>
              </w:rPr>
              <w:t>年度纳税信用等级证明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3.经营能力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及其分子公司在近三年中国旅客吞吐量1500万人次以上及港澳台机场布局情况</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3.1.1布局列表</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3.1.2布局列表的证明文件，包括但不限于合同复印件或业主方证明</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3.2.1布局列表</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3.2.2布局列表的证明文件，包括但不限于合同复印件或业主方证明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theme="minorEastAsia" w:hint="eastAsia"/>
                <w:color w:val="auto"/>
                <w:szCs w:val="21"/>
                <w:highlight w:val="none"/>
                <w:lang w:eastAsia="zh-CN"/>
              </w:rPr>
            </w:pPr>
            <w:r>
              <w:rPr>
                <w:rFonts w:ascii="宋体" w:hAnsi="宋体" w:cstheme="minorEastAsia" w:hint="eastAsia"/>
                <w:color w:val="auto"/>
                <w:szCs w:val="21"/>
                <w:highlight w:val="none"/>
              </w:rPr>
              <w:t>3.3</w:t>
            </w:r>
            <w:r>
              <w:rPr>
                <w:rFonts w:ascii="宋体" w:hAnsi="宋体" w:cs="宋体" w:hint="eastAsia"/>
                <w:color w:val="auto"/>
                <w:kern w:val="0"/>
                <w:szCs w:val="21"/>
                <w:highlight w:val="none"/>
                <w:lang w:eastAsia="zh-CN"/>
              </w:rPr>
              <w:t>获奖证书</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自行提供近三年荣获的国内机场业主方表彰的获奖证书（公司级）</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清晰的证书复印件，加盖单位公章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4.经营方案</w:t>
            </w:r>
          </w:p>
        </w:tc>
        <w:tc>
          <w:tcPr>
            <w:tcW w:w="1517"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4.1</w:t>
            </w:r>
            <w:r>
              <w:rPr>
                <w:rFonts w:ascii="宋体" w:hAnsi="宋体" w:cs="宋体" w:hint="eastAsia"/>
                <w:color w:val="auto"/>
                <w:kern w:val="0"/>
                <w:szCs w:val="21"/>
                <w:highlight w:val="none"/>
                <w:lang/>
              </w:rPr>
              <w:t>经营模式</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提供品牌直营或授权经营模式的承诺书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4.2</w:t>
            </w:r>
            <w:r>
              <w:rPr>
                <w:rFonts w:ascii="宋体" w:hAnsi="宋体" w:cs="宋体" w:hint="eastAsia"/>
                <w:color w:val="auto"/>
                <w:kern w:val="0"/>
                <w:szCs w:val="21"/>
                <w:highlight w:val="none"/>
                <w:lang w:val="en-US" w:eastAsia="zh-CN"/>
              </w:rPr>
              <w:t>首店证明</w:t>
            </w:r>
          </w:p>
        </w:tc>
        <w:tc>
          <w:tcPr>
            <w:tcW w:w="2390" w:type="dxa"/>
            <w:vAlign w:val="center"/>
          </w:tcPr>
          <w:p>
            <w:pPr>
              <w:spacing w:line="360" w:lineRule="auto"/>
              <w:rPr>
                <w:rFonts w:ascii="宋体" w:eastAsia="宋体" w:hAnsi="宋体" w:cstheme="minorEastAsia" w:hint="default"/>
                <w:color w:val="auto"/>
                <w:szCs w:val="21"/>
                <w:highlight w:val="none"/>
                <w:lang w:val="en-US" w:eastAsia="zh-CN"/>
              </w:rPr>
            </w:pPr>
            <w:r>
              <w:rPr>
                <w:rFonts w:ascii="宋体" w:hAnsi="宋体" w:cstheme="minorEastAsia" w:hint="eastAsia"/>
                <w:color w:val="auto"/>
                <w:szCs w:val="21"/>
                <w:highlight w:val="none"/>
                <w:lang w:val="en-US" w:eastAsia="zh-CN"/>
              </w:rPr>
              <w:t>商家提供说明函及证明材料</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kern w:val="0"/>
                <w:szCs w:val="21"/>
                <w:highlight w:val="none"/>
                <w:lang/>
              </w:rPr>
              <w:t>本项目运营方案</w:t>
            </w:r>
            <w:r>
              <w:rPr>
                <w:rFonts w:ascii="宋体" w:hAnsi="宋体" w:cs="宋体" w:hint="eastAsia"/>
                <w:color w:val="auto"/>
                <w:kern w:val="0"/>
                <w:szCs w:val="21"/>
                <w:highlight w:val="none"/>
                <w:lang w:val="en-US" w:eastAsia="zh-CN"/>
              </w:rPr>
              <w:t>和经营计划</w:t>
            </w:r>
          </w:p>
        </w:tc>
        <w:tc>
          <w:tcPr>
            <w:tcW w:w="2390" w:type="dxa"/>
            <w:vAlign w:val="center"/>
          </w:tcPr>
          <w:p>
            <w:pPr>
              <w:spacing w:line="360" w:lineRule="auto"/>
              <w:rPr>
                <w:rFonts w:ascii="宋体" w:hAnsi="宋体" w:cstheme="minorEastAsia" w:hint="default"/>
                <w:color w:val="auto"/>
                <w:szCs w:val="21"/>
                <w:highlight w:val="none"/>
                <w:lang w:val="en-US"/>
              </w:rPr>
            </w:pPr>
            <w:r>
              <w:rPr>
                <w:rFonts w:ascii="宋体" w:hAnsi="宋体" w:cs="宋体" w:hint="eastAsia"/>
                <w:color w:val="auto"/>
                <w:kern w:val="0"/>
                <w:szCs w:val="21"/>
                <w:highlight w:val="none"/>
                <w:lang w:val="en-US" w:eastAsia="zh-CN"/>
              </w:rPr>
              <w:t>商家提供项目期内的经营计划书</w:t>
            </w:r>
            <w:r>
              <w:rPr>
                <w:rFonts w:ascii="宋体" w:hAnsi="宋体" w:cs="宋体" w:hint="eastAsia"/>
                <w:b w:val="0"/>
                <w:bCs w:val="0"/>
                <w:color w:val="auto"/>
                <w:kern w:val="0"/>
                <w:szCs w:val="21"/>
                <w:highlight w:val="none"/>
                <w:lang w:val="en-US" w:eastAsia="zh-CN"/>
              </w:rPr>
              <w:t>，</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铺定位、产品构成、月销售额预测、人均消费、租售比预测</w:t>
            </w:r>
            <w:r>
              <w:rPr>
                <w:rFonts w:ascii="宋体" w:hAnsi="宋体" w:cs="宋体" w:hint="eastAsia"/>
                <w:b w:val="0"/>
                <w:bCs w:val="0"/>
                <w:color w:val="auto"/>
                <w:sz w:val="21"/>
                <w:szCs w:val="21"/>
                <w:highlight w:val="none"/>
              </w:rPr>
              <w:t>等。</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4.4本项目店铺</w:t>
            </w:r>
            <w:r>
              <w:rPr>
                <w:rFonts w:ascii="宋体" w:eastAsia="宋体" w:hAnsi="宋体" w:cs="宋体" w:hint="eastAsia"/>
                <w:color w:val="auto"/>
                <w:kern w:val="0"/>
                <w:szCs w:val="21"/>
                <w:highlight w:val="none"/>
                <w:lang w:val="en-US" w:eastAsia="zh-CN"/>
              </w:rPr>
              <w:t>装修</w:t>
            </w:r>
            <w:r>
              <w:rPr>
                <w:rFonts w:ascii="宋体" w:eastAsia="宋体" w:hAnsi="宋体" w:cs="宋体" w:hint="eastAsia"/>
                <w:color w:val="auto"/>
                <w:kern w:val="0"/>
                <w:szCs w:val="21"/>
                <w:highlight w:val="none"/>
                <w:lang/>
              </w:rPr>
              <w:t>设计效果图</w:t>
            </w:r>
          </w:p>
        </w:tc>
        <w:tc>
          <w:tcPr>
            <w:tcW w:w="2390" w:type="dxa"/>
            <w:vAlign w:val="center"/>
          </w:tcPr>
          <w:p>
            <w:pPr>
              <w:pStyle w:val="11"/>
              <w:spacing w:line="360" w:lineRule="auto"/>
              <w:ind w:firstLine="0"/>
              <w:rPr>
                <w:rFonts w:ascii="宋体" w:hAnsi="宋体" w:cstheme="minorEastAsia"/>
                <w:color w:val="auto"/>
                <w:szCs w:val="21"/>
                <w:highlight w:val="none"/>
              </w:rPr>
            </w:pPr>
            <w:r>
              <w:rPr>
                <w:rFonts w:ascii="宋体" w:hAnsi="宋体" w:cstheme="minorEastAsia" w:hint="eastAsia"/>
                <w:color w:val="auto"/>
                <w:szCs w:val="21"/>
                <w:highlight w:val="none"/>
              </w:rPr>
              <w:t>提供的多角度渲染设计图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5.</w:t>
            </w:r>
            <w:r>
              <w:rPr>
                <w:rFonts w:ascii="宋体" w:hAnsi="宋体" w:cstheme="minorEastAsia" w:hint="eastAsia"/>
                <w:color w:val="auto"/>
                <w:szCs w:val="21"/>
                <w:highlight w:val="none"/>
              </w:rPr>
              <w:t>品牌情况</w:t>
            </w:r>
          </w:p>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val="en-US" w:eastAsia="zh-CN"/>
              </w:rPr>
              <w:t>5.1</w:t>
            </w:r>
            <w:r>
              <w:rPr>
                <w:rFonts w:ascii="宋体" w:eastAsia="宋体" w:hAnsi="宋体" w:cs="宋体" w:hint="eastAsia"/>
                <w:color w:val="auto"/>
                <w:kern w:val="0"/>
                <w:szCs w:val="21"/>
                <w:highlight w:val="none"/>
                <w:lang/>
              </w:rPr>
              <w:t>品牌知名度</w:t>
            </w:r>
          </w:p>
        </w:tc>
        <w:tc>
          <w:tcPr>
            <w:tcW w:w="2390" w:type="dxa"/>
            <w:vAlign w:val="center"/>
          </w:tcPr>
          <w:p>
            <w:pPr>
              <w:pStyle w:val="a"/>
              <w:rPr>
                <w:rFonts w:ascii="宋体" w:hAnsi="宋体" w:cstheme="minorEastAsia"/>
                <w:color w:val="auto"/>
                <w:szCs w:val="21"/>
                <w:highlight w:val="none"/>
              </w:rPr>
            </w:pPr>
            <w:r>
              <w:rPr>
                <w:rFonts w:ascii="宋体" w:hAnsi="宋体" w:cs="宋体" w:hint="eastAsia"/>
                <w:b w:val="0"/>
                <w:bCs w:val="0"/>
                <w:color w:val="auto"/>
                <w:kern w:val="2"/>
                <w:sz w:val="21"/>
                <w:szCs w:val="21"/>
                <w:highlight w:val="none"/>
                <w:lang w:val="en-US" w:eastAsia="zh-CN" w:bidi="ar-SA"/>
              </w:rPr>
              <w:t>商家可提供</w:t>
            </w:r>
            <w:r>
              <w:rPr>
                <w:rFonts w:ascii="宋体" w:eastAsia="宋体" w:hAnsi="宋体" w:cs="宋体" w:hint="eastAsia"/>
                <w:b w:val="0"/>
                <w:bCs w:val="0"/>
                <w:color w:val="auto"/>
                <w:kern w:val="2"/>
                <w:sz w:val="21"/>
                <w:szCs w:val="21"/>
                <w:highlight w:val="none"/>
                <w:lang w:val="en-US" w:eastAsia="zh-CN" w:bidi="ar-SA"/>
              </w:rPr>
              <w:t>但不限于</w:t>
            </w:r>
            <w:r>
              <w:rPr>
                <w:rFonts w:ascii="宋体" w:eastAsia="宋体" w:hAnsi="宋体" w:cs="宋体" w:hint="eastAsia"/>
                <w:color w:val="auto"/>
                <w:kern w:val="2"/>
                <w:sz w:val="21"/>
                <w:szCs w:val="21"/>
                <w:highlight w:val="none"/>
                <w:lang w:val="en-US" w:eastAsia="zh-CN" w:bidi="ar-SA"/>
              </w:rPr>
              <w:t>品牌介绍、品牌产品特色、针对的客户群、商品价格区间、是否具有四川本地特色等。被纳入省级及以上《非物质文化遗产名录》（如有），加盖公章。</w:t>
            </w:r>
          </w:p>
        </w:tc>
        <w:tc>
          <w:tcPr>
            <w:tcW w:w="162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pacing w:line="360" w:lineRule="auto"/>
              <w:jc w:val="left"/>
              <w:rPr>
                <w:rFonts w:ascii="宋体" w:hAnsi="宋体"/>
                <w:color w:val="auto"/>
                <w:szCs w:val="21"/>
                <w:highlight w:val="none"/>
              </w:rPr>
            </w:pPr>
          </w:p>
        </w:tc>
        <w:tc>
          <w:tcPr>
            <w:tcW w:w="1517" w:type="dxa"/>
            <w:vMerge w:val="restart"/>
            <w:vAlign w:val="center"/>
          </w:tcPr>
          <w:p>
            <w:pPr>
              <w:spacing w:line="360" w:lineRule="auto"/>
              <w:rPr>
                <w:rFonts w:ascii="宋体" w:hAnsi="宋体" w:cstheme="minorEastAsia" w:hint="eastAsia"/>
                <w:color w:val="auto"/>
                <w:szCs w:val="21"/>
                <w:highlight w:val="none"/>
                <w:lang w:val="en-US" w:eastAsia="zh-CN"/>
              </w:rPr>
            </w:pPr>
            <w:r>
              <w:rPr>
                <w:rFonts w:ascii="宋体" w:hAnsi="宋体" w:cs="宋体" w:hint="eastAsia"/>
                <w:color w:val="auto"/>
                <w:kern w:val="0"/>
                <w:szCs w:val="21"/>
                <w:highlight w:val="none"/>
                <w:lang w:val="en-US" w:eastAsia="zh-CN"/>
              </w:rPr>
              <w:t>5.2</w:t>
            </w:r>
            <w:r>
              <w:rPr>
                <w:rFonts w:ascii="宋体" w:hAnsi="宋体" w:cs="宋体" w:hint="eastAsia"/>
                <w:color w:val="auto"/>
                <w:kern w:val="0"/>
                <w:szCs w:val="21"/>
                <w:highlight w:val="none"/>
                <w:lang/>
              </w:rPr>
              <w:t>品牌布局</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val="en-US" w:eastAsia="zh-CN"/>
              </w:rPr>
              <w:t>5.2.1品牌</w:t>
            </w:r>
            <w:r>
              <w:rPr>
                <w:rFonts w:ascii="宋体" w:hAnsi="宋体" w:cs="宋体" w:hint="eastAsia"/>
                <w:b w:val="0"/>
                <w:bCs w:val="0"/>
                <w:color w:val="auto"/>
                <w:szCs w:val="21"/>
                <w:highlight w:val="none"/>
                <w:lang w:val="en-US" w:eastAsia="zh-CN"/>
              </w:rPr>
              <w:t>截止2024年6月30日的</w:t>
            </w:r>
            <w:r>
              <w:rPr>
                <w:rFonts w:ascii="宋体" w:hAnsi="宋体" w:cstheme="minorEastAsia" w:hint="eastAsia"/>
                <w:color w:val="auto"/>
                <w:szCs w:val="21"/>
                <w:highlight w:val="none"/>
              </w:rPr>
              <w:t>布局列表</w:t>
            </w:r>
          </w:p>
        </w:tc>
        <w:tc>
          <w:tcPr>
            <w:tcW w:w="1620" w:type="dxa"/>
            <w:vAlign w:val="center"/>
          </w:tcPr>
          <w:p>
            <w:pPr>
              <w:spacing w:line="360" w:lineRule="auto"/>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pacing w:line="360" w:lineRule="auto"/>
              <w:jc w:val="left"/>
              <w:rPr>
                <w:rFonts w:ascii="宋体" w:hAnsi="宋体"/>
                <w:color w:val="auto"/>
                <w:szCs w:val="21"/>
                <w:highlight w:val="none"/>
              </w:rPr>
            </w:pPr>
          </w:p>
        </w:tc>
        <w:tc>
          <w:tcPr>
            <w:tcW w:w="1517" w:type="dxa"/>
            <w:vMerge/>
            <w:vAlign w:val="center"/>
          </w:tcPr>
          <w:p>
            <w:pPr>
              <w:spacing w:line="360" w:lineRule="auto"/>
              <w:rPr>
                <w:rFonts w:ascii="宋体" w:hAnsi="宋体" w:cs="宋体" w:hint="eastAsia"/>
                <w:color w:val="auto"/>
                <w:kern w:val="0"/>
                <w:szCs w:val="21"/>
                <w:highlight w:val="none"/>
                <w:lang w:val="en-US" w:eastAsia="zh-CN"/>
              </w:rPr>
            </w:pP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szCs w:val="21"/>
                <w:highlight w:val="none"/>
              </w:rPr>
              <w:t>5.</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.2布局列表证明文件，包括但不限于合同复印件或业主方证明。</w:t>
            </w:r>
          </w:p>
        </w:tc>
        <w:tc>
          <w:tcPr>
            <w:tcW w:w="1620" w:type="dxa"/>
            <w:vAlign w:val="center"/>
          </w:tcPr>
          <w:p>
            <w:pPr>
              <w:spacing w:line="360" w:lineRule="auto"/>
              <w:rPr>
                <w:rFonts w:ascii="宋体" w:eastAsia="宋体" w:hAnsi="宋体" w:cs="宋体" w:hint="default"/>
                <w:color w:val="auto"/>
                <w:kern w:val="2"/>
                <w:sz w:val="21"/>
                <w:szCs w:val="21"/>
                <w:highlight w:val="none"/>
                <w:lang w:val="en-US" w:eastAsia="zh-CN" w:bidi="ar-SA"/>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rPr>
              <w:t>5.</w:t>
            </w:r>
            <w:r>
              <w:rPr>
                <w:rFonts w:ascii="宋体" w:hAnsi="宋体" w:cstheme="minorEastAsia" w:hint="eastAsia"/>
                <w:color w:val="auto"/>
                <w:szCs w:val="21"/>
                <w:highlight w:val="none"/>
                <w:lang w:val="en-US" w:eastAsia="zh-CN"/>
              </w:rPr>
              <w:t>3</w:t>
            </w:r>
            <w:r>
              <w:rPr>
                <w:rFonts w:ascii="宋体" w:hAnsi="宋体" w:cs="宋体" w:hint="eastAsia"/>
                <w:color w:val="auto"/>
                <w:kern w:val="0"/>
                <w:szCs w:val="21"/>
                <w:highlight w:val="none"/>
                <w:lang/>
              </w:rPr>
              <w:t>品牌坪效（单店年销售额</w:t>
            </w:r>
            <w:r>
              <w:rPr>
                <w:rFonts w:ascii="宋体" w:hAnsi="宋体" w:cs="宋体"/>
                <w:color w:val="auto"/>
                <w:kern w:val="0"/>
                <w:szCs w:val="21"/>
                <w:highlight w:val="none"/>
                <w:lang/>
              </w:rPr>
              <w:t>/</w:t>
            </w:r>
            <w:r>
              <w:rPr>
                <w:rFonts w:ascii="宋体" w:hAnsi="宋体" w:cs="宋体" w:hint="eastAsia"/>
                <w:color w:val="auto"/>
                <w:kern w:val="0"/>
                <w:szCs w:val="21"/>
                <w:highlight w:val="none"/>
                <w:lang/>
              </w:rPr>
              <w:t>该单店面积所占平方米数）</w:t>
            </w:r>
          </w:p>
        </w:tc>
        <w:tc>
          <w:tcPr>
            <w:tcW w:w="2390" w:type="dxa"/>
            <w:vAlign w:val="center"/>
          </w:tcPr>
          <w:p>
            <w:pPr>
              <w:spacing w:line="360" w:lineRule="auto"/>
              <w:rPr>
                <w:rFonts w:ascii="宋体" w:hAnsi="宋体" w:cs="宋体" w:hint="eastAsia"/>
                <w:color w:val="auto"/>
                <w:kern w:val="0"/>
                <w:szCs w:val="21"/>
                <w:highlight w:val="none"/>
                <w:lang/>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须提供购物中心</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rPr>
              <w:t>机场业主方</w:t>
            </w:r>
            <w:r>
              <w:rPr>
                <w:rFonts w:ascii="宋体" w:hAnsi="宋体" w:cs="宋体" w:hint="eastAsia"/>
                <w:color w:val="auto"/>
                <w:kern w:val="0"/>
                <w:szCs w:val="21"/>
                <w:highlight w:val="none"/>
                <w:lang w:val="en-US" w:eastAsia="zh-CN"/>
              </w:rPr>
              <w:t>或知名连锁品牌官方</w:t>
            </w:r>
            <w:r>
              <w:rPr>
                <w:rFonts w:ascii="宋体" w:hAnsi="宋体" w:cs="宋体" w:hint="eastAsia"/>
                <w:color w:val="auto"/>
                <w:kern w:val="0"/>
                <w:szCs w:val="21"/>
                <w:highlight w:val="none"/>
                <w:lang/>
              </w:rPr>
              <w:t>提供的证明材料</w:t>
            </w:r>
          </w:p>
        </w:tc>
        <w:tc>
          <w:tcPr>
            <w:tcW w:w="162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44"/>
        </w:trPr>
        <w:tc>
          <w:tcPr>
            <w:tcW w:w="1288" w:type="dxa"/>
            <w:vMerge/>
            <w:vAlign w:val="center"/>
          </w:tcPr>
          <w:p>
            <w:pPr>
              <w:spacing w:line="360" w:lineRule="auto"/>
              <w:rPr>
                <w:rFonts w:ascii="宋体" w:hAnsi="宋体"/>
                <w:color w:val="auto"/>
                <w:szCs w:val="21"/>
                <w:highlight w:val="none"/>
              </w:rPr>
            </w:pPr>
          </w:p>
        </w:tc>
        <w:tc>
          <w:tcPr>
            <w:tcW w:w="1517" w:type="dxa"/>
            <w:vAlign w:val="center"/>
          </w:tcPr>
          <w:p>
            <w:pPr>
              <w:spacing w:line="360" w:lineRule="auto"/>
              <w:rPr>
                <w:rFonts w:ascii="宋体" w:hAnsi="宋体" w:cstheme="minorEastAsia" w:hint="eastAsia"/>
                <w:b w:val="0"/>
                <w:bCs w:val="0"/>
                <w:color w:val="auto"/>
                <w:szCs w:val="21"/>
                <w:highlight w:val="none"/>
              </w:rPr>
            </w:pPr>
            <w:r>
              <w:rPr>
                <w:rFonts w:ascii="宋体" w:hAnsi="宋体" w:cstheme="minorEastAsia" w:hint="eastAsia"/>
                <w:b w:val="0"/>
                <w:bCs w:val="0"/>
                <w:color w:val="auto"/>
                <w:szCs w:val="21"/>
                <w:highlight w:val="none"/>
              </w:rPr>
              <w:t>5.</w:t>
            </w:r>
            <w:r>
              <w:rPr>
                <w:rFonts w:ascii="宋体" w:hAnsi="宋体" w:cstheme="minorEastAsia" w:hint="eastAsia"/>
                <w:b w:val="0"/>
                <w:bCs w:val="0"/>
                <w:color w:val="auto"/>
                <w:szCs w:val="21"/>
                <w:highlight w:val="none"/>
                <w:lang w:val="en-US" w:eastAsia="zh-CN"/>
              </w:rPr>
              <w:t>4</w:t>
            </w:r>
            <w:r>
              <w:rPr>
                <w:rFonts w:ascii="宋体" w:hAnsi="宋体" w:cs="宋体" w:hint="eastAsia"/>
                <w:b w:val="0"/>
                <w:bCs w:val="0"/>
                <w:color w:val="auto"/>
                <w:kern w:val="0"/>
                <w:szCs w:val="21"/>
                <w:highlight w:val="none"/>
                <w:lang/>
              </w:rPr>
              <w:t>品牌</w:t>
            </w:r>
            <w:r>
              <w:rPr>
                <w:rFonts w:ascii="宋体" w:hAnsi="宋体" w:cs="宋体" w:hint="eastAsia"/>
                <w:b w:val="0"/>
                <w:bCs w:val="0"/>
                <w:color w:val="auto"/>
                <w:kern w:val="0"/>
                <w:szCs w:val="21"/>
                <w:highlight w:val="none"/>
                <w:lang w:val="en-US" w:eastAsia="zh-CN"/>
              </w:rPr>
              <w:t>实力与产品适宜性</w:t>
            </w:r>
          </w:p>
        </w:tc>
        <w:tc>
          <w:tcPr>
            <w:tcW w:w="2390" w:type="dxa"/>
            <w:vAlign w:val="center"/>
          </w:tcPr>
          <w:p>
            <w:pPr>
              <w:spacing w:line="360" w:lineRule="auto"/>
              <w:rPr>
                <w:rFonts w:ascii="宋体" w:eastAsia="宋体" w:hAnsi="宋体" w:cstheme="minorEastAsia" w:hint="eastAsia"/>
                <w:b w:val="0"/>
                <w:bCs w:val="0"/>
                <w:color w:val="auto"/>
                <w:szCs w:val="21"/>
                <w:highlight w:val="none"/>
                <w:lang w:val="en-US" w:eastAsia="zh-CN"/>
              </w:rPr>
            </w:pPr>
            <w:r>
              <w:rPr>
                <w:rFonts w:ascii="宋体" w:hAnsi="宋体" w:cs="宋体" w:hint="eastAsia"/>
                <w:b w:val="0"/>
                <w:bCs w:val="0"/>
                <w:color w:val="auto"/>
                <w:kern w:val="0"/>
                <w:szCs w:val="21"/>
                <w:highlight w:val="none"/>
                <w:lang w:val="en-US" w:eastAsia="zh-CN"/>
              </w:rPr>
              <w:t>商家</w:t>
            </w:r>
            <w:r>
              <w:rPr>
                <w:rFonts w:ascii="宋体" w:hAnsi="宋体" w:cs="宋体" w:hint="eastAsia"/>
                <w:b w:val="0"/>
                <w:bCs w:val="0"/>
                <w:color w:val="auto"/>
                <w:szCs w:val="21"/>
                <w:highlight w:val="none"/>
                <w:lang w:val="en-US" w:eastAsia="zh-CN"/>
              </w:rPr>
              <w:t>可提供但不限于</w:t>
            </w:r>
            <w:r>
              <w:rPr>
                <w:rFonts w:ascii="宋体" w:hAnsi="宋体" w:cs="宋体" w:hint="eastAsia"/>
                <w:b w:val="0"/>
                <w:bCs w:val="0"/>
                <w:color w:val="auto"/>
                <w:szCs w:val="21"/>
                <w:highlight w:val="none"/>
              </w:rPr>
              <w:t>品牌定位、品牌历史、</w:t>
            </w:r>
            <w:r>
              <w:rPr>
                <w:rFonts w:ascii="宋体" w:hAnsi="宋体" w:cs="宋体" w:hint="eastAsia"/>
                <w:b w:val="0"/>
                <w:bCs w:val="0"/>
                <w:color w:val="auto"/>
                <w:szCs w:val="21"/>
                <w:highlight w:val="none"/>
                <w:lang w:val="en-US" w:eastAsia="zh-CN"/>
              </w:rPr>
              <w:t>艺人代言、</w:t>
            </w:r>
            <w:r>
              <w:rPr>
                <w:rFonts w:ascii="宋体" w:hAnsi="宋体" w:cs="宋体" w:hint="eastAsia"/>
                <w:b w:val="0"/>
                <w:bCs w:val="0"/>
                <w:color w:val="auto"/>
                <w:szCs w:val="21"/>
                <w:highlight w:val="none"/>
              </w:rPr>
              <w:t>产品合作</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竞争力</w:t>
            </w:r>
            <w:r>
              <w:rPr>
                <w:rFonts w:ascii="宋体" w:hAnsi="宋体" w:cs="宋体" w:hint="eastAsia"/>
                <w:b w:val="0"/>
                <w:bCs w:val="0"/>
                <w:color w:val="auto"/>
                <w:szCs w:val="21"/>
                <w:highlight w:val="none"/>
              </w:rPr>
              <w:t>及联名情况、品牌特色、文化内涵、经济价值</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IP形象开发（如有）、业内所获奖项、</w:t>
            </w:r>
            <w:r>
              <w:rPr>
                <w:rFonts w:ascii="宋体" w:hAnsi="宋体" w:cs="宋体" w:hint="eastAsia"/>
                <w:b w:val="0"/>
                <w:bCs w:val="0"/>
                <w:color w:val="auto"/>
                <w:szCs w:val="21"/>
                <w:highlight w:val="none"/>
              </w:rPr>
              <w:t>可持续发展</w:t>
            </w:r>
            <w:r>
              <w:rPr>
                <w:rFonts w:ascii="宋体" w:hAnsi="宋体" w:cs="宋体" w:hint="eastAsia"/>
                <w:b w:val="0"/>
                <w:bCs w:val="0"/>
                <w:color w:val="auto"/>
                <w:szCs w:val="21"/>
                <w:highlight w:val="none"/>
                <w:lang w:val="en-US" w:eastAsia="zh-CN"/>
              </w:rPr>
              <w:t>度</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产品多样性及丰富度</w:t>
            </w:r>
            <w:r>
              <w:rPr>
                <w:rFonts w:ascii="宋体" w:hAnsi="宋体" w:cs="宋体" w:hint="eastAsia"/>
                <w:b w:val="0"/>
                <w:bCs w:val="0"/>
                <w:color w:val="auto"/>
                <w:szCs w:val="21"/>
                <w:highlight w:val="none"/>
              </w:rPr>
              <w:t>介绍</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新颖度、适宜性</w:t>
            </w:r>
            <w:r>
              <w:rPr>
                <w:rFonts w:ascii="宋体" w:hAnsi="宋体" w:cs="宋体" w:hint="eastAsia"/>
                <w:b w:val="0"/>
                <w:bCs w:val="0"/>
                <w:color w:val="auto"/>
                <w:szCs w:val="21"/>
                <w:highlight w:val="none"/>
              </w:rPr>
              <w:t>等。</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val="en-US" w:eastAsia="zh-CN"/>
              </w:rPr>
              <w:t>6</w:t>
            </w:r>
            <w:r>
              <w:rPr>
                <w:rFonts w:ascii="宋体" w:hAnsi="宋体" w:cstheme="minorEastAsia" w:hint="eastAsia"/>
                <w:color w:val="auto"/>
                <w:szCs w:val="21"/>
                <w:highlight w:val="none"/>
              </w:rPr>
              <w:t>.</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认为</w:t>
            </w:r>
            <w:r>
              <w:rPr>
                <w:rFonts w:ascii="宋体" w:hAnsi="宋体" w:cs="宋体" w:hint="eastAsia"/>
                <w:color w:val="auto"/>
                <w:szCs w:val="21"/>
                <w:highlight w:val="none"/>
              </w:rPr>
              <w:t>需要</w:t>
            </w:r>
            <w:r>
              <w:rPr>
                <w:rFonts w:ascii="宋体" w:hAnsi="宋体" w:cstheme="minorEastAsia" w:hint="eastAsia"/>
                <w:color w:val="auto"/>
                <w:szCs w:val="21"/>
                <w:highlight w:val="none"/>
              </w:rPr>
              <w:t>提供的其他资料</w:t>
            </w:r>
          </w:p>
        </w:tc>
        <w:tc>
          <w:tcPr>
            <w:tcW w:w="7231" w:type="dxa"/>
            <w:gridSpan w:val="4"/>
            <w:vAlign w:val="center"/>
          </w:tcPr>
          <w:p>
            <w:pPr>
              <w:spacing w:line="240" w:lineRule="auto"/>
              <w:rPr>
                <w:rFonts w:ascii="宋体" w:hAnsi="宋体" w:cstheme="minorEastAsia"/>
                <w:color w:val="auto"/>
                <w:szCs w:val="21"/>
                <w:highlight w:val="none"/>
              </w:rPr>
            </w:pPr>
          </w:p>
        </w:tc>
      </w:tr>
    </w:tbl>
    <w:p>
      <w:pPr>
        <w:rPr>
          <w:rFonts w:ascii="宋体" w:hAnsi="宋体" w:cs="宋体" w:hint="eastAsia"/>
          <w:b/>
          <w:bCs/>
          <w:color w:val="auto"/>
          <w:sz w:val="24"/>
          <w:highlight w:val="none"/>
        </w:rPr>
      </w:pPr>
    </w:p>
    <w:p>
      <w:pPr>
        <w:rPr>
          <w:rFonts w:ascii="宋体" w:hAnsi="宋体" w:cs="宋体" w:hint="eastAsia"/>
          <w:b/>
          <w:bCs/>
          <w:color w:val="auto"/>
          <w:sz w:val="24"/>
          <w:highlight w:val="none"/>
        </w:rPr>
      </w:pPr>
    </w:p>
    <w:p>
      <w:pPr>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目录表进行编写，如未按要求编写所造成对</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1.1合作申请书格式</w:t>
      </w: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合作申请书</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致：成都双流国际机场股份有限公司</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一、为对《</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公告》表示响应，我们以下签字人</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名称】，遵照</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文件的条款和条件，递交完全符合</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文件的关于</w:t>
      </w:r>
      <w:r>
        <w:rPr>
          <w:rFonts w:asciiTheme="minorEastAsia" w:eastAsiaTheme="minorEastAsia" w:hAnsiTheme="minorEastAsia" w:cstheme="minorEastAsia" w:hint="eastAsia"/>
          <w:color w:val="auto"/>
          <w:szCs w:val="21"/>
          <w:highlight w:val="none"/>
          <w:lang w:eastAsia="zh-CN"/>
        </w:rPr>
        <w:t>成都双流国际机场T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lang w:eastAsia="zh-CN"/>
        </w:rPr>
        <w:t>航站楼商业公开招商</w:t>
      </w:r>
      <w:r>
        <w:rPr>
          <w:rFonts w:asciiTheme="minorEastAsia" w:eastAsiaTheme="minorEastAsia" w:hAnsiTheme="minorEastAsia" w:cstheme="minorEastAsia" w:hint="eastAsia"/>
          <w:color w:val="auto"/>
          <w:szCs w:val="21"/>
          <w:highlight w:val="none"/>
          <w:lang w:val="en-US" w:eastAsia="zh-CN"/>
        </w:rPr>
        <w:t>综合百货</w:t>
      </w:r>
      <w:r>
        <w:rPr>
          <w:rFonts w:asciiTheme="minorEastAsia" w:eastAsiaTheme="minorEastAsia" w:hAnsiTheme="minorEastAsia" w:cstheme="minorEastAsia" w:hint="eastAsia"/>
          <w:color w:val="auto"/>
          <w:szCs w:val="21"/>
          <w:highlight w:val="none"/>
          <w:lang w:eastAsia="zh-CN"/>
        </w:rPr>
        <w:t>类</w:t>
      </w:r>
      <w:r>
        <w:rPr>
          <w:rFonts w:asciiTheme="minorEastAsia" w:eastAsiaTheme="minorEastAsia" w:hAnsiTheme="minorEastAsia" w:cstheme="minorEastAsia" w:hint="eastAsia"/>
          <w:color w:val="auto"/>
          <w:szCs w:val="21"/>
          <w:highlight w:val="none"/>
        </w:rPr>
        <w:t>的</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二、我们确认，我们已仔细阅读并研究了</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文件，我们知道必须放弃对上述文件和资料的所有条款提出含糊不清的问题的权利。</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三、我们确认，我们将自行承担因参加本项目的</w:t>
      </w:r>
      <w:r>
        <w:rPr>
          <w:rFonts w:asciiTheme="minorEastAsia" w:eastAsiaTheme="minorEastAsia" w:hAnsiTheme="minorEastAsia" w:cstheme="minorEastAsia" w:hint="eastAsia"/>
          <w:color w:val="auto"/>
          <w:szCs w:val="21"/>
          <w:highlight w:val="none"/>
          <w:lang w:eastAsia="zh-CN"/>
        </w:rPr>
        <w:t>招商</w:t>
      </w:r>
      <w:r>
        <w:rPr>
          <w:rFonts w:asciiTheme="minorEastAsia" w:eastAsiaTheme="minorEastAsia" w:hAnsiTheme="minorEastAsia" w:cstheme="minorEastAsia" w:hint="eastAsia"/>
          <w:color w:val="auto"/>
          <w:szCs w:val="21"/>
          <w:highlight w:val="none"/>
        </w:rPr>
        <w:t>活动而发生的任何费用。</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四、我们确认，本</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的有效期为自提交</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截止日起的九十（90）天。根据《</w:t>
      </w:r>
      <w:r>
        <w:rPr>
          <w:rFonts w:asciiTheme="minorEastAsia" w:eastAsiaTheme="minorEastAsia" w:hAnsiTheme="minorEastAsia" w:cstheme="minorEastAsia" w:hint="eastAsia"/>
          <w:color w:val="auto"/>
          <w:szCs w:val="21"/>
          <w:highlight w:val="none"/>
          <w:lang w:eastAsia="zh-CN"/>
        </w:rPr>
        <w:t>商家</w:t>
      </w:r>
      <w:r>
        <w:rPr>
          <w:rFonts w:asciiTheme="minorEastAsia" w:eastAsiaTheme="minorEastAsia" w:hAnsiTheme="minorEastAsia" w:cstheme="minorEastAsia" w:hint="eastAsia"/>
          <w:color w:val="auto"/>
          <w:szCs w:val="21"/>
          <w:highlight w:val="none"/>
        </w:rPr>
        <w:t>须知》，该限期可以延长，在任何延长期内，我们的</w:t>
      </w:r>
      <w:r>
        <w:rPr>
          <w:rFonts w:asciiTheme="minorEastAsia" w:eastAsiaTheme="minorEastAsia" w:hAnsiTheme="minorEastAsia" w:cstheme="minorEastAsia" w:hint="eastAsia"/>
          <w:color w:val="auto"/>
          <w:szCs w:val="21"/>
          <w:highlight w:val="none"/>
          <w:lang w:eastAsia="zh-CN"/>
        </w:rPr>
        <w:t>响应文件</w:t>
      </w:r>
      <w:r>
        <w:rPr>
          <w:rFonts w:asciiTheme="minorEastAsia" w:eastAsiaTheme="minorEastAsia" w:hAnsiTheme="minorEastAsia" w:cstheme="minorEastAsia"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招商规则</w:t>
      </w:r>
      <w:r>
        <w:rPr>
          <w:rFonts w:ascii="宋体" w:hAnsi="宋体" w:cs="宋体" w:hint="eastAsia"/>
          <w:color w:val="auto"/>
          <w:szCs w:val="21"/>
          <w:highlight w:val="none"/>
        </w:rPr>
        <w:t>，并承诺按照这些规则履行我们的所有义务，包括：一旦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单位</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航站楼商业公开招商</w:t>
      </w:r>
      <w:r>
        <w:rPr>
          <w:rFonts w:ascii="宋体" w:hAnsi="宋体" w:cs="宋体" w:hint="eastAsia"/>
          <w:color w:val="auto"/>
          <w:szCs w:val="21"/>
          <w:highlight w:val="none"/>
          <w:lang w:val="en-US" w:eastAsia="zh-CN"/>
        </w:rPr>
        <w:t>综合百货</w:t>
      </w:r>
      <w:r>
        <w:rPr>
          <w:rFonts w:ascii="宋体" w:hAnsi="宋体" w:cs="宋体" w:hint="eastAsia"/>
          <w:color w:val="auto"/>
          <w:szCs w:val="21"/>
          <w:highlight w:val="none"/>
          <w:lang w:eastAsia="zh-CN"/>
        </w:rPr>
        <w:t>类</w:t>
      </w:r>
      <w:r>
        <w:rPr>
          <w:rFonts w:ascii="宋体" w:hAnsi="宋体" w:cs="宋体" w:hint="eastAsia"/>
          <w:color w:val="auto"/>
          <w:szCs w:val="21"/>
          <w:highlight w:val="none"/>
        </w:rPr>
        <w:t>的</w:t>
      </w:r>
      <w:r>
        <w:rPr>
          <w:rFonts w:ascii="宋体" w:hAnsi="宋体" w:cs="宋体" w:hint="eastAsia"/>
          <w:color w:val="auto"/>
          <w:szCs w:val="21"/>
          <w:highlight w:val="none"/>
          <w:lang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联系，并处理与招</w:t>
      </w:r>
      <w:r>
        <w:rPr>
          <w:rFonts w:ascii="宋体" w:hAnsi="宋体" w:cs="宋体" w:hint="eastAsia"/>
          <w:color w:val="auto"/>
          <w:szCs w:val="21"/>
          <w:highlight w:val="none"/>
          <w:lang w:val="en-US" w:eastAsia="zh-CN"/>
        </w:rPr>
        <w:t>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招商条件</w:t>
      </w:r>
      <w:r>
        <w:rPr>
          <w:rFonts w:ascii="宋体" w:hAnsi="宋体" w:cs="宋体" w:hint="eastAsia"/>
          <w:color w:val="auto"/>
          <w:szCs w:val="21"/>
          <w:highlight w:val="none"/>
        </w:rPr>
        <w:t>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招商条件</w:t>
      </w:r>
      <w:r>
        <w:rPr>
          <w:rFonts w:ascii="宋体" w:hAnsi="宋体" w:cs="宋体" w:hint="eastAsia"/>
          <w:b/>
          <w:color w:val="auto"/>
          <w:kern w:val="0"/>
          <w:szCs w:val="21"/>
          <w:highlight w:val="none"/>
        </w:rPr>
        <w:t>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 w:val="21"/>
          <w:szCs w:val="21"/>
          <w:highlight w:val="none"/>
        </w:rPr>
      </w:pPr>
      <w:r>
        <w:rPr>
          <w:rFonts w:ascii="宋体" w:hAnsi="宋体" w:cs="宋体"/>
          <w:color w:val="auto"/>
          <w:sz w:val="21"/>
          <w:szCs w:val="21"/>
          <w:highlight w:val="none"/>
        </w:rPr>
        <w:br w:type="page"/>
      </w: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截止时间前）</w:t>
      </w:r>
    </w:p>
    <w:p>
      <w:pPr>
        <w:rPr>
          <w:rFonts w:ascii="宋体" w:eastAsia="宋体" w:hAnsi="宋体" w:cs="宋体" w:hint="eastAsia"/>
          <w:color w:val="auto"/>
          <w:szCs w:val="21"/>
          <w:highlight w:val="none"/>
          <w:lang w:eastAsia="zh-CN"/>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w:t>
      </w:r>
      <w:bookmarkStart w:id="2" w:name="_GoBack"/>
      <w:bookmarkEnd w:id="2"/>
      <w:r>
        <w:rPr>
          <w:rFonts w:ascii="宋体" w:hAnsi="宋体" w:cs="宋体" w:hint="eastAsia"/>
          <w:color w:val="auto"/>
          <w:szCs w:val="21"/>
          <w:highlight w:val="none"/>
          <w:lang w:eastAsia="zh-CN"/>
        </w:rPr>
        <w:t>站楼商业公开招商综合百货类</w:t>
      </w:r>
      <w:r>
        <w:rPr>
          <w:rFonts w:ascii="宋体" w:hAnsi="宋体" w:cs="宋体" w:hint="eastAsia"/>
          <w:color w:val="auto"/>
          <w:szCs w:val="21"/>
          <w:highlight w:val="none"/>
        </w:rPr>
        <w:t>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T2航站楼</w:t>
      </w:r>
      <w:r>
        <w:rPr>
          <w:rFonts w:ascii="宋体" w:hAnsi="宋体" w:cs="宋体" w:hint="eastAsia"/>
          <w:color w:val="auto"/>
          <w:sz w:val="21"/>
          <w:szCs w:val="21"/>
          <w:highlight w:val="none"/>
        </w:rPr>
        <w:t>招商综合百货类</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若商家成立时间少于该规定年份的，应提供成立以来的经审计的财务报告。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eastAsia="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6</w:t>
      </w:r>
      <w:r>
        <w:rPr>
          <w:rFonts w:ascii="宋体" w:eastAsia="宋体" w:hAnsi="宋体" w:cs="宋体" w:hint="eastAsia"/>
          <w:b w:val="0"/>
          <w:bCs w:val="0"/>
          <w:color w:val="auto"/>
          <w:kern w:val="0"/>
          <w:szCs w:val="21"/>
          <w:highlight w:val="none"/>
          <w:lang/>
        </w:rPr>
        <w:t>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eastAsia="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eastAsia="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w:t>
      </w:r>
      <w:r>
        <w:rPr>
          <w:rFonts w:ascii="宋体" w:eastAsia="宋体" w:hAnsi="宋体" w:cs="宋体" w:hint="eastAsia"/>
          <w:b w:val="0"/>
          <w:bCs w:val="0"/>
          <w:color w:val="auto"/>
          <w:kern w:val="0"/>
          <w:szCs w:val="21"/>
          <w:highlight w:val="none"/>
          <w:lang w:eastAsia="zh-CN"/>
        </w:rPr>
        <w:t>否决响应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eastAsia="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rPr>
              <w:t>2024年</w:t>
            </w:r>
            <w:r>
              <w:rPr>
                <w:rFonts w:asciiTheme="minorEastAsia" w:eastAsiaTheme="minorEastAsia" w:hAnsiTheme="minorEastAsia" w:cstheme="minorEastAsia" w:hint="eastAsia"/>
                <w:b/>
                <w:bCs/>
                <w:color w:val="auto"/>
                <w:szCs w:val="21"/>
                <w:highlight w:val="none"/>
                <w:lang w:val="en-US" w:eastAsia="zh-CN"/>
              </w:rPr>
              <w:t>6</w:t>
            </w:r>
            <w:r>
              <w:rPr>
                <w:rFonts w:asciiTheme="minorEastAsia" w:eastAsiaTheme="minorEastAsia" w:hAnsiTheme="minorEastAsia" w:cstheme="minorEastAsia" w:hint="eastAsia"/>
                <w:b/>
                <w:bCs/>
                <w:color w:val="auto"/>
                <w:szCs w:val="21"/>
                <w:highlight w:val="none"/>
              </w:rPr>
              <w:t>月30日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商家</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eastAsia="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6</w:t>
      </w:r>
      <w:r>
        <w:rPr>
          <w:rFonts w:ascii="宋体" w:eastAsia="宋体" w:hAnsi="宋体" w:cs="宋体" w:hint="eastAsia"/>
          <w:b w:val="0"/>
          <w:bCs w:val="0"/>
          <w:color w:val="auto"/>
          <w:kern w:val="0"/>
          <w:szCs w:val="21"/>
          <w:highlight w:val="none"/>
          <w:lang/>
        </w:rPr>
        <w:t>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eastAsia="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eastAsia="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w:t>
      </w:r>
      <w:r>
        <w:rPr>
          <w:rFonts w:ascii="宋体" w:eastAsia="宋体" w:hAnsi="宋体" w:cs="宋体" w:hint="eastAsia"/>
          <w:b w:val="0"/>
          <w:bCs w:val="0"/>
          <w:color w:val="auto"/>
          <w:kern w:val="0"/>
          <w:szCs w:val="21"/>
          <w:highlight w:val="none"/>
          <w:lang w:eastAsia="zh-CN"/>
        </w:rPr>
        <w:t>否决响应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6</w:t>
            </w:r>
            <w:r>
              <w:rPr>
                <w:rFonts w:ascii="宋体" w:hAnsi="宋体" w:cs="宋体" w:hint="eastAsia"/>
                <w:b/>
                <w:bCs/>
                <w:color w:val="auto"/>
                <w:szCs w:val="21"/>
                <w:highlight w:val="none"/>
              </w:rPr>
              <w:t>月30日</w:t>
            </w:r>
            <w:r>
              <w:rPr>
                <w:rFonts w:ascii="宋体" w:hAnsi="宋体" w:cs="宋体" w:hint="eastAsia"/>
                <w:b/>
                <w:bCs/>
                <w:color w:val="auto"/>
                <w:szCs w:val="21"/>
                <w:highlight w:val="none"/>
                <w:lang w:eastAsia="zh-CN"/>
              </w:rPr>
              <w:t>，</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rPr>
      </w:pPr>
    </w:p>
    <w:p>
      <w:pPr>
        <w:spacing w:line="240" w:lineRule="auto"/>
        <w:jc w:val="left"/>
        <w:outlineLvl w:val="3"/>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商家</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商家2021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spacing w:line="360" w:lineRule="auto"/>
        <w:ind w:firstLine="422"/>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注：品牌组合店铺若经营模式有差异，请分品牌提供承诺书。</w:t>
      </w: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outlineLvl w:val="3"/>
        <w:rPr>
          <w:rFonts w:ascii="宋体" w:hAnsi="宋体" w:cs="宋体" w:hint="eastAsia"/>
          <w:color w:val="auto"/>
          <w:kern w:val="2"/>
          <w:szCs w:val="21"/>
          <w:highlight w:val="none"/>
          <w:lang w:val="en-US" w:eastAsia="zh-CN"/>
        </w:rPr>
      </w:pPr>
      <w:bookmarkStart w:id="3" w:name="_Toc27037"/>
      <w:bookmarkStart w:id="4" w:name="_Toc4063"/>
      <w:bookmarkStart w:id="5" w:name="_Toc41558662"/>
      <w:bookmarkStart w:id="6" w:name="_Hlk41556141"/>
      <w:bookmarkStart w:id="7" w:name="_Toc9087"/>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lang w:val="en-US" w:eastAsia="zh-CN"/>
        </w:rPr>
      </w:pPr>
      <w:r>
        <w:rPr>
          <w:rFonts w:hint="eastAsia"/>
          <w:b w:val="0"/>
          <w:bCs/>
          <w:sz w:val="21"/>
          <w:szCs w:val="21"/>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商家</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lang w:val="en-US" w:eastAsia="zh-CN"/>
        </w:rPr>
        <w:t>须</w:t>
      </w:r>
      <w:r>
        <w:rPr>
          <w:rFonts w:ascii="宋体" w:hAnsi="宋体" w:cs="宋体" w:hint="eastAsia"/>
          <w:color w:val="auto"/>
          <w:sz w:val="21"/>
          <w:szCs w:val="21"/>
          <w:highlight w:val="none"/>
        </w:rPr>
        <w:t>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商家可提供但不限于品牌介绍、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3"/>
        </w:numPr>
        <w:rPr>
          <w:rFonts w:ascii="宋体" w:hAnsi="宋体" w:cs="宋体"/>
          <w:color w:val="auto"/>
          <w:szCs w:val="21"/>
          <w:highlight w:val="green"/>
        </w:rPr>
      </w:pPr>
      <w:r>
        <w:rPr>
          <w:rFonts w:ascii="宋体" w:hAnsi="宋体" w:cs="宋体" w:hint="eastAsia"/>
          <w:color w:val="auto"/>
          <w:szCs w:val="21"/>
          <w:highlight w:val="green"/>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1.品牌布局情况按照2024年</w:t>
      </w:r>
      <w:r>
        <w:rPr>
          <w:rFonts w:ascii="宋体" w:hAnsi="宋体" w:cs="宋体" w:hint="eastAsia"/>
          <w:color w:val="auto"/>
          <w:szCs w:val="21"/>
          <w:highlight w:val="none"/>
          <w:lang w:val="en-US" w:eastAsia="zh-CN"/>
        </w:rPr>
        <w:t>6</w:t>
      </w:r>
      <w:r>
        <w:rPr>
          <w:rFonts w:ascii="宋体" w:hAnsi="宋体" w:cs="宋体" w:hint="eastAsia"/>
          <w:color w:val="auto"/>
          <w:szCs w:val="21"/>
          <w:highlight w:val="none"/>
        </w:rPr>
        <w:t>月30日处于正常经营状态的店铺计算，已闭店或处于停业状态的店铺不包含在内。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商家</w:t>
      </w:r>
      <w:r>
        <w:rPr>
          <w:rFonts w:asciiTheme="minorEastAsia" w:eastAsiaTheme="minorEastAsia" w:hAnsiTheme="minorEastAsia" w:cstheme="minorEastAsia" w:hint="eastAsia"/>
          <w:b/>
          <w:bCs/>
          <w:color w:val="auto"/>
          <w:szCs w:val="21"/>
          <w:highlight w:val="none"/>
        </w:rPr>
        <w:t>将被予以</w:t>
      </w:r>
      <w:r>
        <w:rPr>
          <w:rFonts w:asciiTheme="minorEastAsia" w:eastAsiaTheme="minorEastAsia" w:hAnsiTheme="minorEastAsia" w:cstheme="minorEastAsia" w:hint="eastAsia"/>
          <w:b/>
          <w:bCs/>
          <w:color w:val="auto"/>
          <w:szCs w:val="21"/>
          <w:highlight w:val="none"/>
          <w:lang w:eastAsia="zh-CN"/>
        </w:rPr>
        <w:t>否决响应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eastAsia="宋体" w:hAnsi="宋体" w:cs="宋体" w:hint="eastAsia"/>
          <w:color w:val="auto"/>
          <w:kern w:val="2"/>
          <w:szCs w:val="21"/>
          <w:highlight w:val="none"/>
          <w:lang w:eastAsia="zh-CN"/>
        </w:rPr>
        <w:t>商家</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6</w:t>
            </w:r>
            <w:r>
              <w:rPr>
                <w:rFonts w:ascii="宋体" w:hAnsi="宋体" w:cs="宋体" w:hint="eastAsia"/>
                <w:b/>
                <w:bCs/>
                <w:color w:val="auto"/>
                <w:szCs w:val="21"/>
                <w:highlight w:val="none"/>
              </w:rPr>
              <w:t>月30日</w:t>
            </w:r>
            <w:r>
              <w:rPr>
                <w:rFonts w:ascii="宋体" w:hAnsi="宋体" w:cs="宋体" w:hint="eastAsia"/>
                <w:b/>
                <w:bCs/>
                <w:color w:val="auto"/>
                <w:szCs w:val="21"/>
                <w:highlight w:val="none"/>
                <w:lang w:eastAsia="zh-CN"/>
              </w:rPr>
              <w:t>，</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商家</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商家须提供购物中心或机场业主方提供的2023年度或2023年X月-2024年X月（满12个月）品牌坪效的证明材料，加盖公章。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商家</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4"/>
        </w:numPr>
        <w:spacing w:line="360" w:lineRule="auto"/>
        <w:outlineLvl w:val="2"/>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lang w:eastAsia="zh-CN"/>
        </w:rPr>
        <w:t>商家</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认为需要提供的其他资料，加盖公章。</w:t>
      </w:r>
    </w:p>
    <w:p>
      <w:pPr>
        <w:pStyle w:val="a"/>
        <w:numPr>
          <w:ilvl w:val="-1"/>
          <w:numId w:val="0"/>
        </w:num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综合百货类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5"/>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abstractNum w:abstractNumId="4">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ableofAuthorities"/>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il"/>
        <w:left w:val="nil"/>
        <w:bottom w:val="nil"/>
        <w:right w:val="nil"/>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 w:type="paragraph" w:customStyle="1" w:styleId="a0">
    <w:name w:val="居中"/>
    <w:basedOn w:val="Normal"/>
    <w:qFormat/>
    <w:pPr>
      <w:spacing w:before="120"/>
      <w:jc w:val="center"/>
    </w:pPr>
    <w:rPr>
      <w:rFonts w:eastAsia="黑体"/>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2024-07-12T06:26:17Z</cp:lastPrinted>
  <dcterms:created xsi:type="dcterms:W3CDTF">2024-04-01T08:08:00Z</dcterms:created>
  <dcterms:modified xsi:type="dcterms:W3CDTF">2024-07-15T03:25:03Z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