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ascii="黑体" w:eastAsia="黑体" w:hAnsi="黑体" w:cs="黑体" w:hint="eastAsia"/>
          <w:b w:val="0"/>
          <w:bCs w:val="0"/>
          <w:sz w:val="28"/>
          <w:szCs w:val="28"/>
          <w:lang w:val="en-US" w:eastAsia="zh-CN"/>
        </w:rPr>
      </w:pPr>
      <w:bookmarkStart w:id="0" w:name="_GoBack"/>
      <w:bookmarkEnd w:id="0"/>
      <w:r>
        <w:rPr>
          <w:rFonts w:ascii="黑体" w:eastAsia="黑体" w:hAnsi="黑体" w:cs="黑体" w:hint="eastAsia"/>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val="0"/>
          <w:sz w:val="32"/>
          <w:szCs w:val="32"/>
          <w:lang w:val="en-US" w:eastAsia="zh-CN"/>
        </w:rPr>
      </w:pPr>
      <w:r>
        <w:rPr>
          <w:rFonts w:ascii="方正小标宋简体" w:eastAsia="方正小标宋简体" w:hAnsi="方正小标宋简体" w:cs="方正小标宋简体" w:hint="eastAsia"/>
          <w:b w:val="0"/>
          <w:bCs w:val="0"/>
          <w:sz w:val="32"/>
          <w:szCs w:val="32"/>
          <w:lang w:val="en-US" w:eastAsia="zh-CN"/>
        </w:rPr>
        <w:t>项目实施区域点位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jc w:val="center"/>
        <w:textAlignment w:val="auto"/>
        <w:rPr>
          <w:rFonts w:ascii="仿宋_GB2312" w:eastAsia="仿宋_GB2312" w:hAnsi="仿宋_GB2312" w:cs="仿宋_GB2312" w:hint="eastAsia"/>
          <w:sz w:val="32"/>
          <w:szCs w:val="32"/>
          <w:lang w:val="en-US" w:eastAsia="zh-CN"/>
        </w:rPr>
      </w:pPr>
      <w:r>
        <w:rPr>
          <w:rFonts w:asciiTheme="minorEastAsia" w:hAnsiTheme="minorEastAsia"/>
          <w:sz w:val="28"/>
          <w:szCs w:val="28"/>
          <w:highlight w:val="none"/>
        </w:rPr>
        <w:drawing>
          <wp:inline distT="0" distB="0" distL="114300" distR="114300">
            <wp:extent cx="5228590" cy="2264410"/>
            <wp:effectExtent l="0" t="0" r="10160" b="2540"/>
            <wp:docPr id="10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pic:cNvPicPr>
                  </pic:nvPicPr>
                  <pic:blipFill>
                    <a:blip r:embed="rId4"/>
                    <a:srcRect l="0" t="1651" r="0" b="1624"/>
                    <a:stretch>
                      <a:fillRect/>
                    </a:stretch>
                  </pic:blipFill>
                  <pic:spPr>
                    <a:xfrm>
                      <a:off x="0" y="0"/>
                      <a:ext cx="5228590" cy="22644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t>T2</w:t>
      </w:r>
      <w:r>
        <w:rPr>
          <w:rFonts w:cs="仿宋_GB2312" w:hint="eastAsia"/>
          <w:sz w:val="24"/>
          <w:szCs w:val="24"/>
          <w:lang w:val="en-US" w:eastAsia="zh-CN"/>
        </w:rPr>
        <w:t>两舱</w:t>
      </w:r>
      <w:r>
        <w:rPr>
          <w:rFonts w:ascii="仿宋_GB2312" w:eastAsia="仿宋_GB2312" w:hAnsi="仿宋_GB2312" w:cs="仿宋_GB2312" w:hint="eastAsia"/>
          <w:sz w:val="24"/>
          <w:szCs w:val="24"/>
          <w:lang w:val="en-US" w:eastAsia="zh-CN"/>
        </w:rPr>
        <w:t>休息室平面图（蓝框区域为项目实施点位）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drawing>
          <wp:inline distT="0" distB="0" distL="114300" distR="114300">
            <wp:extent cx="3488690" cy="1822450"/>
            <wp:effectExtent l="0" t="0" r="16510" b="6350"/>
            <wp:docPr id="1026" name="图片 11" descr="fdd2e52793663bf32b15e25595586e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fdd2e52793663bf32b15e25595586e5f"/>
                    <pic:cNvPicPr>
                      <a:picLocks noChangeAspect="1"/>
                    </pic:cNvPicPr>
                  </pic:nvPicPr>
                  <pic:blipFill>
                    <a:blip r:embed="rId5"/>
                    <a:srcRect l="0" t="0" r="10934" b="0"/>
                    <a:stretch>
                      <a:fillRect/>
                    </a:stretch>
                  </pic:blipFill>
                  <pic:spPr>
                    <a:xfrm>
                      <a:off x="0" y="0"/>
                      <a:ext cx="3488690" cy="18224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t>雪茄吧、吸烟室点位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jc w:val="center"/>
        <w:textAlignment w:val="auto"/>
        <w:rPr>
          <w:rFonts w:ascii="仿宋_GB2312" w:eastAsia="仿宋_GB2312" w:hAnsi="仿宋_GB2312" w:cs="仿宋_GB2312" w:hint="default"/>
          <w:sz w:val="24"/>
          <w:szCs w:val="24"/>
          <w:lang w:val="en-US" w:eastAsia="zh-CN"/>
        </w:rPr>
      </w:pPr>
      <w:r>
        <w:rPr>
          <w:rFonts w:ascii="仿宋_GB2312" w:eastAsia="仿宋_GB2312" w:hAnsi="仿宋_GB2312" w:cs="仿宋_GB2312" w:hint="default"/>
          <w:sz w:val="24"/>
          <w:szCs w:val="24"/>
          <w:lang w:val="en-US" w:eastAsia="zh-CN"/>
        </w:rPr>
        <w:drawing>
          <wp:inline distT="0" distB="0" distL="114300" distR="114300">
            <wp:extent cx="3534410" cy="1829435"/>
            <wp:effectExtent l="0" t="0" r="8890" b="18415"/>
            <wp:docPr id="1027" name="图片 6" descr="9684d0f2a5cdd40a4f80e184667c95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684d0f2a5cdd40a4f80e184667c959f"/>
                    <pic:cNvPicPr>
                      <a:picLocks noChangeAspect="1"/>
                    </pic:cNvPicPr>
                  </pic:nvPicPr>
                  <pic:blipFill>
                    <a:blip r:embed="rId6"/>
                    <a:srcRect l="0" t="0" r="0" b="22104"/>
                    <a:stretch>
                      <a:fillRect/>
                    </a:stretch>
                  </pic:blipFill>
                  <pic:spPr>
                    <a:xfrm>
                      <a:off x="0" y="0"/>
                      <a:ext cx="3534410" cy="18294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jc w:val="center"/>
        <w:textAlignment w:val="auto"/>
        <w:rPr>
          <w:rFonts w:ascii="仿宋_GB2312" w:eastAsia="仿宋_GB2312" w:hAnsi="仿宋_GB2312" w:cs="仿宋_GB2312" w:hint="eastAsia"/>
          <w:sz w:val="24"/>
          <w:szCs w:val="24"/>
          <w:lang w:val="en-US" w:eastAsia="zh-CN"/>
        </w:rPr>
        <w:sectPr>
          <w:footerReference w:type="default" r:id="rId7"/>
          <w:pgSz w:w="11906" w:h="16838"/>
          <w:pgMar w:top="2098" w:right="1474" w:bottom="1984" w:left="1587" w:header="851" w:footer="992" w:gutter="0"/>
          <w:pgNumType w:fmt="numberInDash"/>
          <w:cols w:num="1" w:space="0"/>
          <w:rtlGutter w:val="0"/>
          <w:docGrid w:type="lines" w:linePitch="439" w:charSpace="0"/>
        </w:sectPr>
      </w:pPr>
      <w:r>
        <w:rPr>
          <w:rFonts w:ascii="仿宋_GB2312" w:eastAsia="仿宋_GB2312" w:hAnsi="仿宋_GB2312" w:cs="仿宋_GB2312" w:hint="eastAsia"/>
          <w:sz w:val="24"/>
          <w:szCs w:val="24"/>
          <w:lang w:val="en-US" w:eastAsia="zh-CN"/>
        </w:rPr>
        <w:t>精品雪茄（香烟）展示销售区点位</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黑体" w:eastAsia="黑体" w:hAnsi="黑体" w:cs="黑体" w:hint="eastAsia"/>
          <w:b/>
          <w:bCs/>
          <w:i w:val="0"/>
          <w:strike w:val="0"/>
          <w:color w:val="000000"/>
          <w:spacing w:val="0"/>
          <w:sz w:val="28"/>
          <w:szCs w:val="28"/>
          <w:u w:val="none"/>
        </w:rPr>
      </w:pPr>
      <w:r>
        <w:rPr>
          <w:rFonts w:ascii="黑体" w:eastAsia="黑体" w:hAnsi="黑体" w:cs="黑体" w:hint="eastAsia"/>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_GBK" w:eastAsia="方正小标宋_GBK" w:hAnsi="方正小标宋_GBK" w:cs="方正小标宋_GBK" w:hint="default"/>
          <w:b w:val="0"/>
          <w:bCs w:val="0"/>
          <w:i w:val="0"/>
          <w:strike w:val="0"/>
          <w:color w:val="000000"/>
          <w:spacing w:val="0"/>
          <w:sz w:val="32"/>
          <w:szCs w:val="32"/>
          <w:u w:val="none"/>
          <w:lang w:val="en-US" w:eastAsia="zh-CN"/>
        </w:rPr>
      </w:pPr>
      <w:r>
        <w:rPr>
          <w:rFonts w:ascii="方正小标宋_GBK" w:eastAsia="方正小标宋_GBK" w:hAnsi="方正小标宋_GBK" w:cs="方正小标宋_GBK" w:hint="eastAsia"/>
          <w:b w:val="0"/>
          <w:bCs w:val="0"/>
          <w:i w:val="0"/>
          <w:strike w:val="0"/>
          <w:color w:val="000000"/>
          <w:spacing w:val="0"/>
          <w:sz w:val="32"/>
          <w:szCs w:val="32"/>
          <w:u w:val="none"/>
        </w:rPr>
        <w:t>报名资料清单</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_GBK" w:eastAsia="方正小标宋_GBK" w:hAnsi="方正小标宋_GBK" w:cs="方正小标宋_GBK" w:hint="eastAsia"/>
          <w:b/>
          <w:bCs/>
          <w:i w:val="0"/>
          <w:strike w:val="0"/>
          <w:color w:val="000000"/>
          <w:spacing w:val="0"/>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i w:val="0"/>
          <w:strike w:val="0"/>
          <w:color w:val="000000"/>
          <w:spacing w:val="0"/>
          <w:sz w:val="28"/>
          <w:szCs w:val="28"/>
          <w:u w:val="none"/>
        </w:rPr>
        <w:t>一、基本材料</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1.合作申请书（参见附件</w:t>
      </w:r>
      <w:r>
        <w:rPr>
          <w:rFonts w:cs="仿宋_GB2312" w:hint="eastAsia"/>
          <w:i w:val="0"/>
          <w:strike w:val="0"/>
          <w:color w:val="000000"/>
          <w:spacing w:val="0"/>
          <w:sz w:val="28"/>
          <w:szCs w:val="28"/>
          <w:u w:val="none"/>
          <w:lang w:val="en-US" w:eastAsia="zh-CN"/>
        </w:rPr>
        <w:t>7</w:t>
      </w:r>
      <w:r>
        <w:rPr>
          <w:rFonts w:ascii="仿宋_GB2312" w:eastAsia="仿宋_GB2312" w:hAnsi="仿宋_GB2312" w:cs="仿宋_GB2312" w:hint="eastAsia"/>
          <w:i w:val="0"/>
          <w:strike w:val="0"/>
          <w:color w:val="000000"/>
          <w:spacing w:val="0"/>
          <w:sz w:val="28"/>
          <w:szCs w:val="28"/>
          <w:u w:val="none"/>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2.企业营业执照、税务登记证、组织机构代码证副本（或有统一企业社会信用代码的三证合一经营执照副本）复印件加盖公章；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3.法定代表人授权委托书、法定代表人身份证复印件、被授权人身份证复印件；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4.符合报名条件承诺书（参见附件</w:t>
      </w:r>
      <w:r>
        <w:rPr>
          <w:rFonts w:cs="仿宋_GB2312" w:hint="eastAsia"/>
          <w:i w:val="0"/>
          <w:strike w:val="0"/>
          <w:color w:val="000000"/>
          <w:spacing w:val="0"/>
          <w:sz w:val="28"/>
          <w:szCs w:val="28"/>
          <w:u w:val="none"/>
          <w:lang w:val="en-US" w:eastAsia="zh-CN"/>
        </w:rPr>
        <w:t>8</w:t>
      </w:r>
      <w:r>
        <w:rPr>
          <w:rFonts w:ascii="仿宋_GB2312" w:eastAsia="仿宋_GB2312" w:hAnsi="仿宋_GB2312" w:cs="仿宋_GB2312" w:hint="eastAsia"/>
          <w:i w:val="0"/>
          <w:strike w:val="0"/>
          <w:color w:val="000000"/>
          <w:spacing w:val="0"/>
          <w:sz w:val="28"/>
          <w:szCs w:val="28"/>
          <w:u w:val="none"/>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5.未被列入严重违法失信企业名单（黑名单）截图，加盖公章。</w:t>
      </w:r>
    </w:p>
    <w:p>
      <w:pPr>
        <w:ind w:left="0" w:firstLine="560"/>
        <w:rPr>
          <w:rFonts w:ascii="仿宋_GB2312" w:eastAsia="仿宋_GB2312" w:hAnsi="仿宋_GB2312" w:cs="仿宋_GB2312" w:hint="eastAsia"/>
          <w:i w:val="0"/>
          <w:strike w:val="0"/>
          <w:color w:val="000000"/>
          <w:spacing w:val="0"/>
          <w:sz w:val="28"/>
          <w:szCs w:val="28"/>
          <w:u w:val="none"/>
        </w:rPr>
      </w:pPr>
      <w:r>
        <w:rPr>
          <w:rFonts w:ascii="黑体" w:eastAsia="黑体" w:hAnsi="黑体" w:cs="黑体" w:hint="eastAsia"/>
          <w:i w:val="0"/>
          <w:strike w:val="0"/>
          <w:color w:val="000000"/>
          <w:spacing w:val="0"/>
          <w:sz w:val="28"/>
          <w:szCs w:val="28"/>
          <w:u w:val="none"/>
        </w:rPr>
        <w:t>二、财务</w:t>
      </w:r>
      <w:r>
        <w:rPr>
          <w:rFonts w:ascii="黑体" w:eastAsia="黑体" w:hAnsi="黑体" w:cs="黑体" w:hint="eastAsia"/>
          <w:i w:val="0"/>
          <w:strike w:val="0"/>
          <w:color w:val="000000"/>
          <w:spacing w:val="0"/>
          <w:sz w:val="28"/>
          <w:szCs w:val="28"/>
          <w:u w:val="none"/>
          <w:lang w:val="en-US" w:eastAsia="zh-CN"/>
        </w:rPr>
        <w:t>状况要求</w:t>
      </w:r>
      <w:r>
        <w:rPr>
          <w:rFonts w:ascii="仿宋_GB2312" w:eastAsia="仿宋_GB2312" w:hAnsi="仿宋_GB2312" w:cs="仿宋_GB2312" w:hint="eastAsia"/>
          <w:i w:val="0"/>
          <w:strike w:val="0"/>
          <w:color w:val="000000"/>
          <w:spacing w:val="0"/>
          <w:sz w:val="28"/>
          <w:szCs w:val="28"/>
          <w:u w:val="none"/>
        </w:rPr>
        <w:t>（备注：必须是合同主体单位，分公司可用总公司资料参评，子公司不可用母公司资料参评）</w:t>
      </w:r>
    </w:p>
    <w:p>
      <w:pPr>
        <w:ind w:left="0" w:firstLine="560"/>
        <w:rPr>
          <w:rFonts w:ascii="仿宋_GB2312" w:eastAsia="仿宋_GB2312" w:hAnsi="仿宋_GB2312" w:cs="仿宋_GB2312" w:hint="eastAsia"/>
          <w:i w:val="0"/>
          <w:strike w:val="0"/>
          <w:color w:val="000000"/>
          <w:spacing w:val="0"/>
          <w:sz w:val="28"/>
          <w:szCs w:val="28"/>
          <w:u w:val="none"/>
        </w:rPr>
      </w:pPr>
      <w:r>
        <w:rPr>
          <w:rFonts w:ascii="仿宋_GB2312" w:eastAsia="仿宋_GB2312" w:hAnsi="仿宋_GB2312" w:cs="仿宋_GB2312" w:hint="eastAsia"/>
          <w:i w:val="0"/>
          <w:strike w:val="0"/>
          <w:color w:val="000000"/>
          <w:spacing w:val="0"/>
          <w:sz w:val="28"/>
          <w:szCs w:val="28"/>
          <w:u w:val="none"/>
        </w:rPr>
        <w:t>申请人须满足以下资质条件，并提供相应证明文件：</w:t>
      </w:r>
    </w:p>
    <w:p>
      <w:pPr>
        <w:ind w:left="0" w:firstLine="560"/>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财务状况良好，提供由会计师事务所出具的、审计日期在2024年1月1日之后的财务审计报告。</w:t>
      </w:r>
    </w:p>
    <w:p>
      <w:pPr>
        <w:ind w:left="0" w:firstLine="560"/>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申请人注册资本不低于人民币100万元。</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i w:val="0"/>
          <w:strike w:val="0"/>
          <w:color w:val="000000"/>
          <w:spacing w:val="0"/>
          <w:sz w:val="28"/>
          <w:szCs w:val="28"/>
          <w:u w:val="none"/>
        </w:rPr>
      </w:pPr>
      <w:r>
        <w:rPr>
          <w:rFonts w:ascii="黑体" w:eastAsia="黑体" w:hAnsi="黑体" w:cs="黑体" w:hint="eastAsia"/>
          <w:i w:val="0"/>
          <w:strike w:val="0"/>
          <w:color w:val="000000"/>
          <w:spacing w:val="0"/>
          <w:sz w:val="28"/>
          <w:szCs w:val="28"/>
          <w:u w:val="none"/>
        </w:rPr>
        <w:t>三、经营业绩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ascii="仿宋_GB2312" w:eastAsia="仿宋_GB2312" w:hAnsi="仿宋_GB2312" w:cs="仿宋_GB2312" w:hint="eastAsia"/>
          <w:i w:val="0"/>
          <w:strike w:val="0"/>
          <w:color w:val="000000"/>
          <w:spacing w:val="0"/>
          <w:sz w:val="28"/>
          <w:szCs w:val="28"/>
          <w:u w:val="none"/>
        </w:rPr>
        <w:t>申请人须具备高端场景服务经验，能提供以下至少</w:t>
      </w: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项自202</w:t>
      </w:r>
      <w:r>
        <w:rPr>
          <w:rFonts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年1月1日以来签署并成功运营的同类项目业绩证明：​</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合同范本：与国内外千万级机场</w:t>
      </w:r>
      <w:r>
        <w:rPr>
          <w:rFonts w:cs="仿宋_GB2312" w:hint="eastAsia"/>
          <w:i w:val="0"/>
          <w:strike w:val="0"/>
          <w:color w:val="000000"/>
          <w:spacing w:val="0"/>
          <w:sz w:val="28"/>
          <w:szCs w:val="28"/>
          <w:u w:val="none"/>
          <w:lang w:val="en-US" w:eastAsia="zh-CN"/>
        </w:rPr>
        <w:t>或</w:t>
      </w:r>
      <w:r>
        <w:rPr>
          <w:rFonts w:ascii="仿宋_GB2312" w:eastAsia="仿宋_GB2312" w:hAnsi="仿宋_GB2312" w:cs="仿宋_GB2312" w:hint="eastAsia"/>
          <w:i w:val="0"/>
          <w:strike w:val="0"/>
          <w:color w:val="000000"/>
          <w:spacing w:val="0"/>
          <w:sz w:val="28"/>
          <w:szCs w:val="28"/>
          <w:u w:val="none"/>
        </w:rPr>
        <w:t>五星级酒店、高端商业综合体或高档私人会所签订的雪茄吧、威士忌吧、高端精品零售店等运营管理合同。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证明文件：须提供合同关键页（含合同金额、服务内容、双方签章）及至少一张对应项目的付款发票复印件作为证明。（所有复印件需加盖公章）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i w:val="0"/>
          <w:strike w:val="0"/>
          <w:color w:val="000000"/>
          <w:spacing w:val="0"/>
          <w:sz w:val="28"/>
          <w:szCs w:val="28"/>
          <w:u w:val="none"/>
          <w:lang w:val="en-US" w:eastAsia="zh-CN"/>
        </w:rPr>
      </w:pPr>
      <w:r>
        <w:rPr>
          <w:rFonts w:ascii="黑体" w:eastAsia="黑体" w:hAnsi="黑体" w:cs="黑体" w:hint="eastAsia"/>
          <w:i w:val="0"/>
          <w:strike w:val="0"/>
          <w:color w:val="000000"/>
          <w:spacing w:val="0"/>
          <w:sz w:val="28"/>
          <w:szCs w:val="28"/>
          <w:u w:val="none"/>
          <w:lang w:val="en-US" w:eastAsia="zh-CN"/>
        </w:rPr>
        <w:t>四、专业团队资质</w:t>
      </w:r>
    </w:p>
    <w:p>
      <w:pPr>
        <w:keepNext w:val="0"/>
        <w:keepLines w:val="0"/>
        <w:widowControl/>
        <w:suppressLineNumbers w:val="0"/>
        <w:jc w:val="left"/>
        <w:rPr>
          <w:rFonts w:hint="eastAsia"/>
          <w:sz w:val="28"/>
          <w:szCs w:val="28"/>
          <w:lang/>
        </w:rPr>
      </w:pPr>
      <w:r>
        <w:rPr>
          <w:rFonts w:ascii="仿宋_GB2312" w:eastAsia="仿宋_GB2312" w:hAnsi="仿宋_GB2312" w:cstheme="minorBidi" w:hint="eastAsia"/>
          <w:i w:val="0"/>
          <w:strike w:val="0"/>
          <w:kern w:val="2"/>
          <w:sz w:val="28"/>
          <w:szCs w:val="28"/>
          <w:u w:val="none"/>
          <w:lang w:val="en-US" w:eastAsia="zh-CN" w:bidi="ar-SA"/>
        </w:rPr>
        <w:t>驻场该项目的团队成员</w:t>
      </w:r>
      <w:r>
        <w:rPr>
          <w:rFonts w:cstheme="minorBidi" w:hint="eastAsia"/>
          <w:i w:val="0"/>
          <w:strike w:val="0"/>
          <w:kern w:val="2"/>
          <w:sz w:val="28"/>
          <w:szCs w:val="28"/>
          <w:u w:val="none"/>
          <w:lang w:val="en-US" w:eastAsia="zh-CN" w:bidi="ar-SA"/>
        </w:rPr>
        <w:t>中须包含</w:t>
      </w:r>
      <w:r>
        <w:rPr>
          <w:rFonts w:ascii="仿宋_GB2312" w:eastAsia="仿宋_GB2312" w:hAnsi="仿宋_GB2312" w:cstheme="minorBidi" w:hint="eastAsia"/>
          <w:i w:val="0"/>
          <w:strike w:val="0"/>
          <w:kern w:val="2"/>
          <w:sz w:val="28"/>
          <w:szCs w:val="28"/>
          <w:u w:val="none"/>
          <w:lang w:val="en-US" w:eastAsia="zh-CN" w:bidi="ar-SA"/>
        </w:rPr>
        <w:t>持有中国烟草协会颁发的“中国侍茄师能力认证证书”的侍茄师</w:t>
      </w:r>
      <w:r>
        <w:rPr>
          <w:rFonts w:cstheme="minorBidi" w:hint="eastAsia"/>
          <w:i w:val="0"/>
          <w:strike w:val="0"/>
          <w:kern w:val="2"/>
          <w:sz w:val="28"/>
          <w:szCs w:val="28"/>
          <w:u w:val="none"/>
          <w:lang w:val="en-US" w:eastAsia="zh-CN" w:bidi="ar-SA"/>
        </w:rPr>
        <w:t>。须提供证书复印件，</w:t>
      </w:r>
      <w:r>
        <w:rPr>
          <w:rFonts w:hint="eastAsia"/>
          <w:sz w:val="28"/>
          <w:szCs w:val="28"/>
          <w:lang/>
        </w:rPr>
        <w:t>复印件须清晰可辨并加盖</w:t>
      </w:r>
      <w:r>
        <w:rPr>
          <w:rFonts w:hint="eastAsia"/>
          <w:sz w:val="28"/>
          <w:szCs w:val="28"/>
          <w:lang w:val="en-US" w:eastAsia="zh-CN"/>
        </w:rPr>
        <w:t>响应</w:t>
      </w:r>
      <w:r>
        <w:rPr>
          <w:rFonts w:hint="eastAsia"/>
          <w:sz w:val="28"/>
          <w:szCs w:val="28"/>
          <w:lang/>
        </w:rPr>
        <w:t>人单位公章。</w:t>
      </w:r>
    </w:p>
    <w:p>
      <w:pPr>
        <w:ind w:left="0" w:firstLine="560"/>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五、商业资源与供应链能力</w:t>
      </w:r>
    </w:p>
    <w:p>
      <w:pPr>
        <w:ind w:left="0" w:firstLine="560"/>
        <w:rPr>
          <w:rFonts w:hint="eastAsia"/>
          <w:sz w:val="28"/>
          <w:szCs w:val="28"/>
        </w:rPr>
      </w:pPr>
      <w:r>
        <w:rPr>
          <w:rFonts w:hint="eastAsia"/>
          <w:sz w:val="28"/>
          <w:szCs w:val="28"/>
        </w:rPr>
        <w:t>申请人须提供以下证明文件：</w:t>
      </w:r>
    </w:p>
    <w:p>
      <w:pPr>
        <w:ind w:left="0" w:firstLine="560"/>
        <w:rPr>
          <w:rFonts w:hint="eastAsia"/>
          <w:sz w:val="28"/>
          <w:szCs w:val="28"/>
        </w:rPr>
      </w:pPr>
      <w:r>
        <w:rPr>
          <w:rFonts w:hint="eastAsia"/>
          <w:sz w:val="28"/>
          <w:szCs w:val="28"/>
          <w:lang w:val="en-US" w:eastAsia="zh-CN"/>
        </w:rPr>
        <w:t>1.</w:t>
      </w:r>
      <w:r>
        <w:rPr>
          <w:rFonts w:hint="eastAsia"/>
          <w:sz w:val="28"/>
          <w:szCs w:val="28"/>
        </w:rPr>
        <w:t>与中国烟草总公司或其省级公司有效的烟草专卖零售许可证</w:t>
      </w:r>
      <w:r>
        <w:rPr>
          <w:rFonts w:hint="eastAsia"/>
          <w:sz w:val="28"/>
          <w:szCs w:val="28"/>
          <w:lang w:val="en-US" w:eastAsia="zh-CN"/>
        </w:rPr>
        <w:t>或</w:t>
      </w:r>
      <w:r>
        <w:rPr>
          <w:rFonts w:hint="eastAsia"/>
          <w:sz w:val="28"/>
          <w:szCs w:val="28"/>
        </w:rPr>
        <w:t>合作协议。</w:t>
      </w:r>
    </w:p>
    <w:p>
      <w:pPr>
        <w:keepNext w:val="0"/>
        <w:keepLines w:val="0"/>
        <w:widowControl/>
        <w:suppressLineNumbers w:val="0"/>
        <w:jc w:val="left"/>
        <w:rPr>
          <w:rFonts w:hint="eastAsia"/>
          <w:sz w:val="28"/>
          <w:szCs w:val="28"/>
          <w:lang/>
        </w:rPr>
      </w:pPr>
      <w:r>
        <w:rPr>
          <w:rFonts w:hint="eastAsia"/>
          <w:sz w:val="28"/>
          <w:szCs w:val="28"/>
          <w:lang w:val="en-US" w:eastAsia="zh-CN"/>
        </w:rPr>
        <w:t>2.</w:t>
      </w:r>
      <w:r>
        <w:rPr>
          <w:rFonts w:hint="eastAsia"/>
          <w:sz w:val="28"/>
          <w:szCs w:val="28"/>
          <w:lang/>
        </w:rPr>
        <w:t>提供由国际知名雪茄品牌</w:t>
      </w:r>
      <w:r>
        <w:rPr>
          <w:rFonts w:hint="eastAsia"/>
          <w:sz w:val="28"/>
          <w:szCs w:val="28"/>
          <w:lang w:eastAsia="zh-CN"/>
        </w:rPr>
        <w:t>（</w:t>
      </w:r>
      <w:r>
        <w:rPr>
          <w:rFonts w:hint="eastAsia"/>
          <w:sz w:val="28"/>
          <w:szCs w:val="28"/>
          <w:lang w:val="en-US" w:eastAsia="zh-CN"/>
        </w:rPr>
        <w:t>包括但不限于</w:t>
      </w:r>
      <w:r>
        <w:rPr>
          <w:rFonts w:hint="eastAsia"/>
          <w:sz w:val="28"/>
          <w:szCs w:val="28"/>
          <w:lang/>
        </w:rPr>
        <w:t>高希霸</w:t>
      </w:r>
      <w:r>
        <w:rPr>
          <w:rFonts w:hint="eastAsia"/>
          <w:sz w:val="28"/>
          <w:szCs w:val="28"/>
          <w:lang w:eastAsia="zh-CN"/>
        </w:rPr>
        <w:t>、</w:t>
      </w:r>
      <w:r>
        <w:rPr>
          <w:rFonts w:ascii="仿宋_GB2312" w:eastAsia="仿宋_GB2312" w:hAnsi="仿宋_GB2312" w:cstheme="minorBidi" w:hint="eastAsia"/>
          <w:kern w:val="2"/>
          <w:sz w:val="28"/>
          <w:szCs w:val="28"/>
          <w:lang w:val="en-US" w:eastAsia="zh-CN"/>
        </w:rPr>
        <w:t>特立尼达、阿塔迪斯、帕德隆、蒙特克里斯托</w:t>
      </w:r>
      <w:r>
        <w:rPr>
          <w:rFonts w:cstheme="minorBidi" w:hint="eastAsia"/>
          <w:kern w:val="2"/>
          <w:sz w:val="28"/>
          <w:szCs w:val="28"/>
          <w:lang w:val="en-US" w:eastAsia="zh-CN"/>
        </w:rPr>
        <w:t>、</w:t>
      </w:r>
      <w:r>
        <w:rPr>
          <w:rFonts w:ascii="仿宋_GB2312" w:eastAsia="仿宋_GB2312" w:hAnsi="仿宋_GB2312" w:cstheme="minorBidi" w:hint="eastAsia"/>
          <w:kern w:val="2"/>
          <w:sz w:val="28"/>
          <w:szCs w:val="28"/>
          <w:lang w:val="en-US" w:eastAsia="zh-CN"/>
        </w:rPr>
        <w:t>好友·德·蒙特雷、帕特加斯）</w:t>
      </w:r>
      <w:r>
        <w:rPr>
          <w:rFonts w:hint="eastAsia"/>
          <w:sz w:val="28"/>
          <w:szCs w:val="28"/>
          <w:lang/>
        </w:rPr>
        <w:t>供应商或其授权代理商开具的、近半年内的增值税专用发票复印件，复印件须清晰可辨并加盖</w:t>
      </w:r>
      <w:r>
        <w:rPr>
          <w:rFonts w:hint="eastAsia"/>
          <w:sz w:val="28"/>
          <w:szCs w:val="28"/>
          <w:lang w:val="en-US" w:eastAsia="zh-CN"/>
        </w:rPr>
        <w:t>响应</w:t>
      </w:r>
      <w:r>
        <w:rPr>
          <w:rFonts w:hint="eastAsia"/>
          <w:sz w:val="28"/>
          <w:szCs w:val="28"/>
          <w:lang/>
        </w:rPr>
        <w:t>人单位公章。</w:t>
      </w:r>
    </w:p>
    <w:p>
      <w:pPr>
        <w:ind w:left="0" w:firstLine="560"/>
        <w:rPr>
          <w:rFonts w:ascii="黑体" w:eastAsia="黑体" w:hAnsi="黑体" w:cs="黑体" w:hint="eastAsia"/>
          <w:sz w:val="28"/>
          <w:szCs w:val="28"/>
        </w:rPr>
      </w:pPr>
      <w:r>
        <w:rPr>
          <w:rFonts w:ascii="黑体" w:eastAsia="黑体" w:hAnsi="黑体" w:cs="黑体" w:hint="eastAsia"/>
          <w:sz w:val="28"/>
          <w:szCs w:val="28"/>
          <w:lang w:val="en-US" w:eastAsia="zh-CN"/>
        </w:rPr>
        <w:t>六</w:t>
      </w:r>
      <w:r>
        <w:rPr>
          <w:rFonts w:ascii="黑体" w:eastAsia="黑体" w:hAnsi="黑体" w:cs="黑体" w:hint="eastAsia"/>
          <w:sz w:val="28"/>
          <w:szCs w:val="28"/>
        </w:rPr>
        <w:t>、服务质量管理方案</w:t>
      </w:r>
    </w:p>
    <w:p>
      <w:pPr>
        <w:ind w:left="0" w:firstLine="560"/>
        <w:rPr>
          <w:rFonts w:hint="eastAsia"/>
          <w:sz w:val="28"/>
          <w:szCs w:val="28"/>
        </w:rPr>
      </w:pPr>
      <w:r>
        <w:rPr>
          <w:rFonts w:hint="eastAsia"/>
          <w:sz w:val="28"/>
          <w:szCs w:val="28"/>
        </w:rPr>
        <w:t>（方案需详细阐述以下方面的具体措施）</w:t>
      </w:r>
    </w:p>
    <w:p>
      <w:pPr>
        <w:ind w:left="0" w:firstLine="560"/>
        <w:rPr>
          <w:rFonts w:hint="eastAsia"/>
          <w:sz w:val="28"/>
          <w:szCs w:val="28"/>
        </w:rPr>
      </w:pPr>
      <w:r>
        <w:rPr>
          <w:rFonts w:hint="eastAsia"/>
          <w:sz w:val="28"/>
          <w:szCs w:val="28"/>
          <w:lang w:val="en-US" w:eastAsia="zh-CN"/>
        </w:rPr>
        <w:t>1.</w:t>
      </w:r>
      <w:r>
        <w:rPr>
          <w:rFonts w:hint="eastAsia"/>
          <w:sz w:val="28"/>
          <w:szCs w:val="28"/>
        </w:rPr>
        <w:t>人员配备与资质：包括但不限于</w:t>
      </w:r>
      <w:r>
        <w:rPr>
          <w:rFonts w:hint="eastAsia"/>
          <w:sz w:val="28"/>
          <w:szCs w:val="28"/>
          <w:lang w:val="en-US" w:eastAsia="zh-CN"/>
        </w:rPr>
        <w:t>持有中国烟草协会颁发的</w:t>
      </w:r>
      <w:r>
        <w:rPr>
          <w:rFonts w:hint="eastAsia"/>
          <w:sz w:val="28"/>
          <w:szCs w:val="28"/>
        </w:rPr>
        <w:t>侍茄师团队资质、服务礼仪标准、年度培训计划等。</w:t>
      </w:r>
    </w:p>
    <w:p>
      <w:pPr>
        <w:ind w:left="0" w:firstLine="560"/>
        <w:rPr>
          <w:rFonts w:hint="eastAsia"/>
          <w:sz w:val="28"/>
          <w:szCs w:val="28"/>
        </w:rPr>
      </w:pPr>
      <w:r>
        <w:rPr>
          <w:rFonts w:hint="eastAsia"/>
          <w:sz w:val="28"/>
          <w:szCs w:val="28"/>
          <w:lang w:val="en-US" w:eastAsia="zh-CN"/>
        </w:rPr>
        <w:t>2.</w:t>
      </w:r>
      <w:r>
        <w:rPr>
          <w:rFonts w:hint="eastAsia"/>
          <w:sz w:val="28"/>
          <w:szCs w:val="28"/>
        </w:rPr>
        <w:t>服务流程与体验标准：包括标准化服务流程、文化体验植入、隐私保护措施等。</w:t>
      </w:r>
    </w:p>
    <w:p>
      <w:pPr>
        <w:ind w:left="0" w:firstLine="560"/>
        <w:rPr>
          <w:rFonts w:hint="eastAsia"/>
          <w:sz w:val="28"/>
          <w:szCs w:val="28"/>
        </w:rPr>
      </w:pPr>
      <w:r>
        <w:rPr>
          <w:rFonts w:hint="eastAsia"/>
          <w:sz w:val="28"/>
          <w:szCs w:val="28"/>
          <w:lang w:val="en-US" w:eastAsia="zh-CN"/>
        </w:rPr>
        <w:t>3.</w:t>
      </w:r>
      <w:r>
        <w:rPr>
          <w:rFonts w:hint="eastAsia"/>
          <w:sz w:val="28"/>
          <w:szCs w:val="28"/>
        </w:rPr>
        <w:t>环境维护与商品管理：包括环境清洁标准、雪茄储存设备运维、商品陈列与养护规范等。</w:t>
      </w:r>
    </w:p>
    <w:p>
      <w:pPr>
        <w:ind w:left="0" w:firstLine="560"/>
        <w:rPr>
          <w:rFonts w:hint="eastAsia"/>
          <w:sz w:val="28"/>
          <w:szCs w:val="28"/>
        </w:rPr>
      </w:pPr>
      <w:r>
        <w:rPr>
          <w:rFonts w:hint="eastAsia"/>
          <w:sz w:val="28"/>
          <w:szCs w:val="28"/>
          <w:lang w:val="en-US" w:eastAsia="zh-CN"/>
        </w:rPr>
        <w:t>4.</w:t>
      </w:r>
      <w:r>
        <w:rPr>
          <w:rFonts w:hint="eastAsia"/>
          <w:sz w:val="28"/>
          <w:szCs w:val="28"/>
        </w:rPr>
        <w:t>客诉处理与应急机制：包括投诉响应流程、各类突发事件应急预案等。</w:t>
      </w:r>
    </w:p>
    <w:p>
      <w:pPr>
        <w:ind w:left="0" w:firstLine="560"/>
        <w:rPr>
          <w:rFonts w:hint="eastAsia"/>
          <w:sz w:val="28"/>
          <w:szCs w:val="28"/>
        </w:rPr>
      </w:pPr>
      <w:r>
        <w:rPr>
          <w:rFonts w:hint="eastAsia"/>
          <w:sz w:val="28"/>
          <w:szCs w:val="28"/>
          <w:lang w:val="en-US" w:eastAsia="zh-CN"/>
        </w:rPr>
        <w:t>5.</w:t>
      </w:r>
      <w:r>
        <w:rPr>
          <w:rFonts w:hint="eastAsia"/>
          <w:sz w:val="28"/>
          <w:szCs w:val="28"/>
        </w:rPr>
        <w:t>服务监督与考核：声明接受招</w:t>
      </w:r>
      <w:r>
        <w:rPr>
          <w:rFonts w:hint="eastAsia"/>
          <w:sz w:val="28"/>
          <w:szCs w:val="28"/>
          <w:lang w:val="en-US" w:eastAsia="zh-CN"/>
        </w:rPr>
        <w:t>商</w:t>
      </w:r>
      <w:r>
        <w:rPr>
          <w:rFonts w:hint="eastAsia"/>
          <w:sz w:val="28"/>
          <w:szCs w:val="28"/>
        </w:rPr>
        <w:t>方的各项服务监督与考核。</w:t>
      </w:r>
    </w:p>
    <w:p>
      <w:pPr>
        <w:ind w:left="0" w:firstLine="560"/>
        <w:rPr>
          <w:rFonts w:hint="eastAsia"/>
          <w:sz w:val="28"/>
          <w:szCs w:val="28"/>
        </w:rPr>
      </w:pPr>
      <w:r>
        <w:rPr>
          <w:rFonts w:hint="eastAsia"/>
          <w:sz w:val="28"/>
          <w:szCs w:val="28"/>
        </w:rPr>
        <w:t>（方案文件需加盖公章）</w:t>
      </w:r>
    </w:p>
    <w:p>
      <w:pPr>
        <w:ind w:left="0" w:firstLine="560"/>
        <w:rPr>
          <w:rFonts w:ascii="仿宋_GB2312" w:eastAsia="仿宋_GB2312" w:hAnsi="仿宋_GB2312" w:cstheme="minorBidi" w:hint="eastAsia"/>
          <w:sz w:val="28"/>
          <w:szCs w:val="28"/>
        </w:rPr>
      </w:pPr>
      <w:r>
        <w:rPr>
          <w:rFonts w:ascii="黑体" w:eastAsia="黑体" w:hAnsi="黑体" w:cs="黑体" w:hint="eastAsia"/>
          <w:sz w:val="28"/>
          <w:szCs w:val="28"/>
          <w:lang w:val="en-US" w:eastAsia="zh-CN"/>
        </w:rPr>
        <w:t>七、商务报价</w:t>
      </w:r>
    </w:p>
    <w:p>
      <w:pPr>
        <w:ind w:left="0" w:firstLine="560"/>
        <w:rPr>
          <w:rFonts w:hint="eastAsia"/>
          <w:sz w:val="28"/>
          <w:szCs w:val="28"/>
        </w:rPr>
      </w:pPr>
      <w:r>
        <w:rPr>
          <w:rFonts w:hint="eastAsia"/>
          <w:sz w:val="28"/>
          <w:szCs w:val="28"/>
        </w:rPr>
        <w:t>商务报价指固定项目金额报价，报价单</w:t>
      </w:r>
      <w:r>
        <w:rPr>
          <w:rFonts w:hint="eastAsia"/>
          <w:sz w:val="28"/>
          <w:szCs w:val="28"/>
          <w:lang w:eastAsia="zh-CN"/>
        </w:rPr>
        <w:t>、</w:t>
      </w:r>
      <w:r>
        <w:rPr>
          <w:rFonts w:hint="eastAsia"/>
          <w:sz w:val="28"/>
          <w:szCs w:val="28"/>
          <w:lang w:val="en-US" w:eastAsia="zh-CN"/>
        </w:rPr>
        <w:t>提成方案</w:t>
      </w:r>
      <w:r>
        <w:rPr>
          <w:rFonts w:hint="eastAsia"/>
          <w:sz w:val="28"/>
          <w:szCs w:val="28"/>
        </w:rPr>
        <w:t>（</w:t>
      </w:r>
      <w:r>
        <w:rPr>
          <w:rFonts w:hint="eastAsia"/>
          <w:sz w:val="28"/>
          <w:szCs w:val="28"/>
          <w:lang w:eastAsia="zh-CN"/>
        </w:rPr>
        <w:t>参考</w:t>
      </w:r>
      <w:r>
        <w:rPr>
          <w:rFonts w:hint="eastAsia"/>
          <w:sz w:val="28"/>
          <w:szCs w:val="28"/>
        </w:rPr>
        <w:t>附件3</w:t>
      </w:r>
      <w:r>
        <w:rPr>
          <w:rFonts w:hint="eastAsia"/>
          <w:sz w:val="28"/>
          <w:szCs w:val="28"/>
          <w:lang w:eastAsia="zh-CN"/>
        </w:rPr>
        <w:t>、</w:t>
      </w:r>
      <w:r>
        <w:rPr>
          <w:rFonts w:hint="eastAsia"/>
          <w:sz w:val="28"/>
          <w:szCs w:val="28"/>
          <w:lang w:val="en-US" w:eastAsia="zh-CN"/>
        </w:rPr>
        <w:t>附件4</w:t>
      </w:r>
      <w:r>
        <w:rPr>
          <w:rFonts w:hint="eastAsia"/>
          <w:sz w:val="28"/>
          <w:szCs w:val="28"/>
        </w:rPr>
        <w:t>）单独装订，与上述一</w:t>
      </w:r>
      <w:r>
        <w:rPr>
          <w:rFonts w:hint="eastAsia"/>
          <w:sz w:val="28"/>
          <w:szCs w:val="28"/>
          <w:lang w:val="en-US" w:eastAsia="zh-CN"/>
        </w:rPr>
        <w:t>至五</w:t>
      </w:r>
      <w:r>
        <w:rPr>
          <w:rFonts w:hint="eastAsia"/>
          <w:sz w:val="28"/>
          <w:szCs w:val="28"/>
        </w:rPr>
        <w:t>项</w:t>
      </w:r>
      <w:r>
        <w:rPr>
          <w:rFonts w:hint="eastAsia"/>
          <w:sz w:val="28"/>
          <w:szCs w:val="28"/>
          <w:lang w:val="en-US" w:eastAsia="zh-CN"/>
        </w:rPr>
        <w:t>文件</w:t>
      </w:r>
      <w:r>
        <w:rPr>
          <w:rFonts w:hint="eastAsia"/>
          <w:sz w:val="28"/>
          <w:szCs w:val="28"/>
        </w:rPr>
        <w:t>内容分册，加盖公章。</w:t>
      </w:r>
    </w:p>
    <w:p>
      <w:pPr>
        <w:ind w:left="0" w:firstLine="640"/>
        <w:rPr>
          <w:rFonts w:hint="eastAsia"/>
        </w:rPr>
      </w:pPr>
    </w:p>
    <w:p>
      <w:pPr>
        <w:ind w:left="0" w:firstLine="640"/>
        <w:rPr>
          <w:rFonts w:hint="eastAsia"/>
        </w:rPr>
      </w:pPr>
    </w:p>
    <w:p>
      <w:pPr>
        <w:ind w:left="0" w:firstLine="640"/>
        <w:rPr>
          <w:rFonts w:hint="eastAsia"/>
        </w:rPr>
      </w:pPr>
    </w:p>
    <w:p>
      <w:pPr>
        <w:ind w:left="0" w:firstLine="640"/>
        <w:rPr>
          <w:rFonts w:hint="eastAsia"/>
        </w:rPr>
      </w:pPr>
    </w:p>
    <w:p>
      <w:pPr>
        <w:ind w:left="0" w:firstLine="640"/>
        <w:rPr>
          <w:rFonts w:hint="eastAsia"/>
        </w:rPr>
      </w:pPr>
    </w:p>
    <w:p>
      <w:pPr>
        <w:ind w:left="0" w:firstLine="640"/>
        <w:rPr>
          <w:rFonts w:hint="eastAsia"/>
        </w:rPr>
      </w:pPr>
    </w:p>
    <w:p>
      <w:pPr>
        <w:ind w:left="0" w:firstLine="640"/>
        <w:rPr>
          <w:rFonts w:hint="eastAsia"/>
        </w:rPr>
      </w:pPr>
    </w:p>
    <w:p>
      <w:pPr>
        <w:ind w:left="0" w:firstLine="640"/>
        <w:jc w:val="center"/>
        <w:rPr>
          <w:rFonts w:ascii="方正小标宋简体" w:eastAsia="方正小标宋简体" w:hAnsi="方正小标宋简体" w:cs="方正小标宋简体" w:hint="eastAsia"/>
        </w:rPr>
      </w:pPr>
    </w:p>
    <w:p>
      <w:pPr>
        <w:ind w:left="0" w:firstLine="640"/>
        <w:jc w:val="center"/>
        <w:rPr>
          <w:rFonts w:ascii="方正小标宋简体" w:eastAsia="方正小标宋简体" w:hAnsi="方正小标宋简体" w:cs="方正小标宋简体" w:hint="eastAsia"/>
        </w:rPr>
      </w:pPr>
    </w:p>
    <w:p>
      <w:pPr>
        <w:ind w:left="0" w:firstLine="640"/>
        <w:jc w:val="center"/>
        <w:rPr>
          <w:rFonts w:ascii="方正小标宋简体" w:eastAsia="方正小标宋简体" w:hAnsi="方正小标宋简体" w:cs="方正小标宋简体" w:hint="eastAsia"/>
        </w:rPr>
      </w:pPr>
    </w:p>
    <w:p>
      <w:pPr>
        <w:ind w:left="0" w:firstLine="640"/>
        <w:jc w:val="center"/>
        <w:rPr>
          <w:rFonts w:ascii="方正小标宋简体" w:eastAsia="方正小标宋简体" w:hAnsi="方正小标宋简体" w:cs="方正小标宋简体" w:hint="eastAsia"/>
        </w:rPr>
      </w:pPr>
    </w:p>
    <w:p>
      <w:pPr>
        <w:ind w:left="0" w:firstLine="640"/>
        <w:jc w:val="center"/>
        <w:rPr>
          <w:rFonts w:ascii="方正小标宋简体" w:eastAsia="方正小标宋简体" w:hAnsi="方正小标宋简体" w:cs="方正小标宋简体" w:hint="eastAsia"/>
        </w:rPr>
        <w:sectPr>
          <w:pgSz w:w="11906" w:h="16838"/>
          <w:pgMar w:top="2098" w:right="1474" w:bottom="1984" w:left="1587" w:header="851" w:footer="992" w:gutter="0"/>
          <w:pgNumType w:fmt="numberInDash"/>
          <w:cols w:num="1" w:space="0"/>
          <w:rtlGutter w:val="0"/>
          <w:docGrid w:type="lines" w:linePitch="439" w:charSpace="0"/>
        </w:sectPr>
      </w:pPr>
    </w:p>
    <w:p>
      <w:pPr>
        <w:ind w:firstLine="0"/>
        <w:jc w:val="both"/>
        <w:rPr>
          <w:rFonts w:ascii="黑体" w:eastAsia="黑体" w:hAnsi="黑体" w:cs="黑体" w:hint="eastAsia"/>
          <w:b w:val="0"/>
          <w:bCs/>
          <w:color w:val="000000"/>
          <w:sz w:val="28"/>
          <w:szCs w:val="28"/>
        </w:rPr>
      </w:pPr>
      <w:r>
        <w:rPr>
          <w:rFonts w:ascii="黑体" w:eastAsia="黑体" w:hAnsi="黑体" w:cs="黑体" w:hint="eastAsia"/>
          <w:b w:val="0"/>
          <w:bCs/>
          <w:color w:val="000000"/>
          <w:sz w:val="28"/>
          <w:szCs w:val="28"/>
        </w:rPr>
        <w:t>附件3：报价单</w:t>
      </w:r>
    </w:p>
    <w:p>
      <w:pPr>
        <w:snapToGrid/>
        <w:spacing w:line="240" w:lineRule="auto"/>
        <w:ind w:firstLine="0"/>
        <w:jc w:val="center"/>
        <w:rPr>
          <w:rFonts w:ascii="方正小标宋简体" w:eastAsia="方正小标宋简体" w:hAnsi="方正小标宋简体" w:cs="方正小标宋简体"/>
          <w:b w:val="0"/>
          <w:i w:val="0"/>
          <w:strike w:val="0"/>
          <w:color w:val="000000"/>
          <w:spacing w:val="0"/>
          <w:sz w:val="24"/>
          <w:u w:val="none"/>
          <w:shd w:val="clear" w:color="auto" w:fill="FFFFFF"/>
        </w:rPr>
      </w:pPr>
    </w:p>
    <w:p>
      <w:pPr>
        <w:snapToGrid/>
        <w:spacing w:line="240" w:lineRule="auto"/>
        <w:ind w:firstLine="0"/>
        <w:jc w:val="center"/>
        <w:rPr>
          <w:rFonts w:ascii="方正小标宋简体" w:eastAsia="方正小标宋简体" w:hAnsi="方正小标宋简体" w:cs="方正小标宋简体"/>
          <w:b w:val="0"/>
          <w:i w:val="0"/>
          <w:strike w:val="0"/>
          <w:color w:val="000000"/>
          <w:spacing w:val="0"/>
          <w:sz w:val="24"/>
          <w:u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i w:val="0"/>
          <w:strike w:val="0"/>
          <w:color w:val="000000"/>
          <w:sz w:val="28"/>
          <w:szCs w:val="28"/>
          <w:u w:val="none"/>
        </w:rPr>
      </w:pPr>
      <w:r>
        <w:rPr>
          <w:rFonts w:ascii="方正小标宋简体" w:eastAsia="方正小标宋简体" w:hAnsi="方正小标宋简体" w:cs="方正小标宋简体" w:hint="eastAsia"/>
          <w:sz w:val="28"/>
          <w:szCs w:val="28"/>
          <w:lang w:val="en-US" w:eastAsia="zh-CN"/>
        </w:rPr>
        <w:t>成都双流国际机场T2两舱休息室“自在·茄境”雪茄吧</w:t>
      </w:r>
      <w:r>
        <w:rPr>
          <w:rFonts w:ascii="方正小标宋简体" w:eastAsia="方正小标宋简体" w:hAnsi="方正小标宋简体" w:cs="方正小标宋简体" w:hint="eastAsia"/>
          <w:b w:val="0"/>
          <w:bCs/>
          <w:i w:val="0"/>
          <w:strike w:val="0"/>
          <w:color w:val="000000"/>
          <w:spacing w:val="0"/>
          <w:sz w:val="28"/>
          <w:szCs w:val="28"/>
          <w:u w:val="none"/>
          <w:shd w:val="clear" w:color="auto" w:fill="FFFFFF"/>
        </w:rPr>
        <w:t>项目</w:t>
      </w:r>
      <w:r>
        <w:rPr>
          <w:rFonts w:ascii="方正小标宋简体" w:eastAsia="方正小标宋简体" w:hAnsi="方正小标宋简体" w:cs="方正小标宋简体" w:hint="eastAsia"/>
          <w:b w:val="0"/>
          <w:bCs/>
          <w:i w:val="0"/>
          <w:strike w:val="0"/>
          <w:color w:val="000000"/>
          <w:sz w:val="28"/>
          <w:szCs w:val="28"/>
          <w:u w:val="none"/>
        </w:rPr>
        <w:t>授权</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i w:val="0"/>
          <w:strike w:val="0"/>
          <w:color w:val="000000"/>
          <w:sz w:val="28"/>
          <w:szCs w:val="28"/>
          <w:u w:val="none"/>
        </w:rPr>
      </w:pPr>
      <w:r>
        <w:rPr>
          <w:rFonts w:ascii="方正小标宋简体" w:eastAsia="方正小标宋简体" w:hAnsi="方正小标宋简体" w:cs="方正小标宋简体" w:hint="eastAsia"/>
          <w:b w:val="0"/>
          <w:bCs/>
          <w:i w:val="0"/>
          <w:strike w:val="0"/>
          <w:color w:val="000000"/>
          <w:sz w:val="28"/>
          <w:szCs w:val="28"/>
          <w:u w:val="none"/>
        </w:rPr>
        <w:t>经营费报价文件</w:t>
      </w:r>
    </w:p>
    <w:p>
      <w:pPr>
        <w:numPr>
          <w:ilvl w:val="0"/>
          <w:numId w:val="0"/>
        </w:numPr>
        <w:snapToGrid/>
        <w:spacing w:line="240" w:lineRule="auto"/>
        <w:ind w:firstLine="0"/>
        <w:jc w:val="both"/>
        <w:rPr>
          <w:rFonts w:asciiTheme="minorEastAsia" w:eastAsiaTheme="minorEastAsia" w:hAnsiTheme="minorEastAsia" w:cstheme="minorEastAsia" w:hint="eastAsia"/>
          <w:b/>
          <w:i w:val="0"/>
          <w:strike w:val="0"/>
          <w:color w:val="000000"/>
          <w:sz w:val="24"/>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asciiTheme="minorEastAsia" w:eastAsiaTheme="minorEastAsia" w:hAnsiTheme="minorEastAsia" w:cstheme="minorEastAsia" w:hint="eastAsia"/>
          <w:b w:val="0"/>
          <w:bCs/>
          <w:sz w:val="28"/>
          <w:szCs w:val="28"/>
        </w:rPr>
      </w:pPr>
      <w:r>
        <w:rPr>
          <w:rFonts w:ascii="黑体" w:eastAsia="黑体" w:hAnsi="黑体" w:cs="黑体" w:hint="eastAsia"/>
          <w:b w:val="0"/>
          <w:bCs/>
          <w:i w:val="0"/>
          <w:strike w:val="0"/>
          <w:color w:val="000000"/>
          <w:sz w:val="28"/>
          <w:szCs w:val="28"/>
          <w:u w:val="none"/>
          <w:lang w:val="en-US" w:eastAsia="zh-CN"/>
        </w:rPr>
        <w:t>一、</w:t>
      </w:r>
      <w:r>
        <w:rPr>
          <w:rFonts w:ascii="黑体" w:eastAsia="黑体" w:hAnsi="黑体" w:cs="黑体" w:hint="eastAsia"/>
          <w:b w:val="0"/>
          <w:bCs/>
          <w:i w:val="0"/>
          <w:strike w:val="0"/>
          <w:color w:val="000000"/>
          <w:sz w:val="28"/>
          <w:szCs w:val="28"/>
          <w:u w:val="none"/>
        </w:rPr>
        <w:t>授权经营费：共计</w:t>
      </w:r>
      <w:r>
        <w:rPr>
          <w:rFonts w:ascii="黑体" w:eastAsia="黑体" w:hAnsi="黑体" w:cs="黑体" w:hint="eastAsia"/>
          <w:b w:val="0"/>
          <w:bCs/>
          <w:i w:val="0"/>
          <w:strike w:val="0"/>
          <w:color w:val="000000"/>
          <w:sz w:val="28"/>
          <w:szCs w:val="28"/>
          <w:u w:val="none"/>
          <w:lang w:val="en-US" w:eastAsia="zh-CN"/>
        </w:rPr>
        <w:t>XX</w:t>
      </w:r>
      <w:r>
        <w:rPr>
          <w:rFonts w:ascii="黑体" w:eastAsia="黑体" w:hAnsi="黑体" w:cs="黑体" w:hint="eastAsia"/>
          <w:b w:val="0"/>
          <w:bCs/>
          <w:i w:val="0"/>
          <w:strike w:val="0"/>
          <w:color w:val="000000"/>
          <w:sz w:val="28"/>
          <w:szCs w:val="28"/>
          <w:u w:val="none"/>
        </w:rPr>
        <w:t>万元。</w:t>
      </w:r>
    </w:p>
    <w:tbl>
      <w:tblPr>
        <w:tblStyle w:val="TableGrid"/>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
      <w:tblGrid>
        <w:gridCol w:w="2958"/>
        <w:gridCol w:w="2685"/>
        <w:gridCol w:w="1975"/>
      </w:tblGrid>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rPr>
            </w:pPr>
            <w:r>
              <w:rPr>
                <w:rFonts w:ascii="仿宋_GB2312" w:eastAsia="仿宋_GB2312" w:hAnsi="仿宋_GB2312" w:cs="仿宋_GB2312" w:hint="eastAsia"/>
                <w:b w:val="0"/>
                <w:bCs/>
                <w:i w:val="0"/>
                <w:strike w:val="0"/>
                <w:color w:val="333333"/>
                <w:spacing w:val="0"/>
                <w:sz w:val="28"/>
                <w:szCs w:val="28"/>
                <w:u w:val="none"/>
                <w:shd w:val="clear" w:color="auto" w:fill="auto"/>
              </w:rPr>
              <w:t>资源模块</w:t>
            </w:r>
          </w:p>
        </w:tc>
        <w:tc>
          <w:tcPr>
            <w:tcW w:w="2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u w:val="none"/>
                <w:shd w:val="clear" w:color="auto" w:fill="auto"/>
                <w:lang w:val="en-US" w:eastAsia="zh-CN"/>
              </w:rPr>
            </w:pPr>
            <w:r>
              <w:rPr>
                <w:rFonts w:ascii="仿宋_GB2312" w:eastAsia="仿宋_GB2312" w:hAnsi="仿宋_GB2312" w:cs="仿宋_GB2312" w:hint="eastAsia"/>
                <w:b w:val="0"/>
                <w:bCs/>
                <w:color w:val="333333"/>
                <w:sz w:val="28"/>
                <w:szCs w:val="28"/>
                <w:u w:val="none"/>
                <w:shd w:val="clear" w:color="auto" w:fill="auto"/>
                <w:lang w:val="en-US" w:eastAsia="zh-CN"/>
              </w:rPr>
              <w:t>面积</w:t>
            </w:r>
          </w:p>
        </w:tc>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分项合计价格</w:t>
            </w:r>
          </w:p>
        </w:tc>
      </w:tr>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default"/>
                <w:b w:val="0"/>
                <w:bCs/>
                <w:color w:val="333333"/>
                <w:sz w:val="28"/>
                <w:szCs w:val="28"/>
                <w:lang w:val="en-US" w:eastAsia="zh-CN"/>
              </w:rPr>
            </w:pPr>
            <w:r>
              <w:rPr>
                <w:rFonts w:cs="仿宋_GB2312" w:hint="eastAsia"/>
                <w:b w:val="0"/>
                <w:bCs/>
                <w:i w:val="0"/>
                <w:strike w:val="0"/>
                <w:color w:val="333333"/>
                <w:spacing w:val="0"/>
                <w:sz w:val="28"/>
                <w:szCs w:val="28"/>
                <w:u w:val="none"/>
                <w:shd w:val="clear" w:color="auto" w:fill="auto"/>
                <w:lang w:val="en-US" w:eastAsia="zh-CN"/>
              </w:rPr>
              <w:t>“自在·茄境”雪茄吧</w:t>
            </w:r>
          </w:p>
        </w:tc>
        <w:tc>
          <w:tcPr>
            <w:tcW w:w="2685"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u w:val="none"/>
                <w:shd w:val="clear" w:color="auto" w:fill="auto"/>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冠名面积51平方米</w:t>
            </w:r>
          </w:p>
        </w:tc>
        <w:tc>
          <w:tcPr>
            <w:tcW w:w="1975"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XX万元/年</w:t>
            </w:r>
          </w:p>
        </w:tc>
      </w:tr>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rPr>
            </w:pPr>
            <w:r>
              <w:rPr>
                <w:rFonts w:ascii="仿宋_GB2312" w:eastAsia="仿宋_GB2312" w:hAnsi="仿宋_GB2312" w:cs="仿宋_GB2312" w:hint="eastAsia"/>
                <w:b w:val="0"/>
                <w:bCs/>
                <w:i w:val="0"/>
                <w:strike w:val="0"/>
                <w:color w:val="333333"/>
                <w:spacing w:val="0"/>
                <w:sz w:val="28"/>
                <w:szCs w:val="28"/>
                <w:u w:val="none"/>
                <w:shd w:val="clear" w:color="auto" w:fill="auto"/>
              </w:rPr>
              <w:t>总价</w:t>
            </w:r>
          </w:p>
        </w:tc>
        <w:tc>
          <w:tcPr>
            <w:tcW w:w="4660"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XXX</w:t>
            </w:r>
            <w:r>
              <w:rPr>
                <w:rFonts w:ascii="仿宋_GB2312" w:eastAsia="仿宋_GB2312" w:hAnsi="仿宋_GB2312" w:cs="仿宋_GB2312" w:hint="eastAsia"/>
                <w:b w:val="0"/>
                <w:bCs/>
                <w:i w:val="0"/>
                <w:strike w:val="0"/>
                <w:color w:val="333333"/>
                <w:spacing w:val="0"/>
                <w:sz w:val="28"/>
                <w:szCs w:val="28"/>
                <w:u w:val="none"/>
                <w:shd w:val="clear" w:color="auto" w:fill="auto"/>
              </w:rPr>
              <w:t>万元/年</w:t>
            </w:r>
          </w:p>
        </w:tc>
      </w:tr>
    </w:tbl>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cstheme="minorBidi" w:hint="eastAsia"/>
          <w:b w:val="0"/>
          <w:bCs/>
          <w:kern w:val="2"/>
          <w:sz w:val="28"/>
          <w:szCs w:val="28"/>
          <w:lang w:val="en-US" w:eastAsia="zh-CN"/>
        </w:rPr>
      </w:pPr>
      <w:r>
        <w:rPr>
          <w:rFonts w:ascii="黑体" w:eastAsia="黑体" w:hAnsi="黑体" w:cs="黑体" w:hint="eastAsia"/>
          <w:b w:val="0"/>
          <w:bCs/>
          <w:i w:val="0"/>
          <w:strike w:val="0"/>
          <w:color w:val="000000"/>
          <w:sz w:val="28"/>
          <w:szCs w:val="28"/>
          <w:u w:val="none"/>
        </w:rPr>
        <w:t>二、</w:t>
      </w:r>
      <w:r>
        <w:rPr>
          <w:rFonts w:ascii="黑体" w:eastAsia="黑体" w:hAnsi="黑体" w:cs="黑体" w:hint="eastAsia"/>
          <w:b w:val="0"/>
          <w:bCs/>
          <w:kern w:val="2"/>
          <w:sz w:val="28"/>
          <w:szCs w:val="28"/>
          <w:lang w:val="en-US" w:eastAsia="zh-CN"/>
        </w:rPr>
        <w:t>履约担保方式</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cstheme="minorBidi" w:hint="eastAsia"/>
          <w:b w:val="0"/>
          <w:bCs/>
          <w:kern w:val="2"/>
          <w:sz w:val="28"/>
          <w:szCs w:val="28"/>
          <w:lang w:val="en-US" w:eastAsia="zh-CN"/>
        </w:rPr>
      </w:pPr>
      <w:r>
        <w:rPr>
          <w:rFonts w:ascii="仿宋_GB2312" w:eastAsia="仿宋_GB2312" w:hAnsi="仿宋_GB2312" w:cs="仿宋_GB2312" w:hint="eastAsia"/>
          <w:b w:val="0"/>
          <w:bCs/>
          <w:i w:val="0"/>
          <w:strike w:val="0"/>
          <w:color w:val="000000"/>
          <w:sz w:val="28"/>
          <w:szCs w:val="28"/>
          <w:u w:val="none"/>
        </w:rPr>
        <w:t>履约保证金</w:t>
      </w:r>
      <w:r>
        <w:rPr>
          <w:rFonts w:ascii="仿宋_GB2312" w:eastAsia="仿宋_GB2312" w:hAnsi="仿宋_GB2312" w:cs="仿宋_GB2312" w:hint="eastAsia"/>
          <w:b w:val="0"/>
          <w:bCs/>
          <w:i w:val="0"/>
          <w:strike w:val="0"/>
          <w:color w:val="000000"/>
          <w:sz w:val="28"/>
          <w:szCs w:val="28"/>
          <w:u w:val="none"/>
          <w:lang w:val="en-US" w:eastAsia="zh-CN"/>
        </w:rPr>
        <w:t>330000</w:t>
      </w:r>
      <w:r>
        <w:rPr>
          <w:rFonts w:ascii="仿宋_GB2312" w:eastAsia="仿宋_GB2312" w:hAnsi="仿宋_GB2312" w:cs="仿宋_GB2312" w:hint="eastAsia"/>
          <w:b w:val="0"/>
          <w:bCs/>
          <w:i w:val="0"/>
          <w:strike w:val="0"/>
          <w:color w:val="000000"/>
          <w:sz w:val="28"/>
          <w:szCs w:val="28"/>
          <w:u w:val="none"/>
        </w:rPr>
        <w:t>元</w:t>
      </w:r>
      <w:r>
        <w:rPr>
          <w:rFonts w:cs="仿宋_GB2312" w:hint="eastAsia"/>
          <w:b w:val="0"/>
          <w:bCs/>
          <w:i w:val="0"/>
          <w:strike w:val="0"/>
          <w:color w:val="000000"/>
          <w:sz w:val="28"/>
          <w:szCs w:val="28"/>
          <w:u w:val="none"/>
          <w:lang w:val="en-US" w:eastAsia="zh-CN"/>
        </w:rPr>
        <w:t>/</w:t>
      </w:r>
      <w:r>
        <w:rPr>
          <w:rFonts w:ascii="仿宋_GB2312" w:eastAsia="仿宋_GB2312" w:hAnsi="仿宋_GB2312" w:cs="仿宋_GB2312" w:hint="eastAsia"/>
          <w:b w:val="0"/>
          <w:bCs/>
          <w:kern w:val="2"/>
          <w:sz w:val="28"/>
          <w:szCs w:val="28"/>
          <w:lang w:val="en-US" w:eastAsia="zh-CN"/>
        </w:rPr>
        <w:t>提交见索即付银行保函</w:t>
      </w:r>
      <w:r>
        <w:rPr>
          <w:rFonts w:cs="仿宋_GB2312" w:hint="eastAsia"/>
          <w:b w:val="0"/>
          <w:bCs/>
          <w:kern w:val="2"/>
          <w:sz w:val="28"/>
          <w:szCs w:val="28"/>
          <w:lang w:val="en-US" w:eastAsia="zh-CN"/>
        </w:rPr>
        <w:t>，金</w:t>
      </w:r>
      <w:r>
        <w:rPr>
          <w:rFonts w:cstheme="minorBidi" w:hint="eastAsia"/>
          <w:b w:val="0"/>
          <w:bCs/>
          <w:kern w:val="2"/>
          <w:sz w:val="28"/>
          <w:szCs w:val="28"/>
          <w:lang w:val="en-US" w:eastAsia="zh-CN"/>
        </w:rPr>
        <w:t>额为330000元</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sz w:val="28"/>
          <w:lang w:eastAsia="zh-CN"/>
        </w:rPr>
      </w:pPr>
      <w:r>
        <w:rPr>
          <w:rFonts w:cstheme="minorBidi" w:hint="eastAsia"/>
          <w:b w:val="0"/>
          <w:bCs/>
          <w:kern w:val="2"/>
          <w:sz w:val="28"/>
          <w:szCs w:val="28"/>
          <w:lang w:val="en-US" w:eastAsia="zh-CN"/>
        </w:rPr>
        <w:t>（二选一）</w:t>
      </w:r>
      <w:r>
        <w:rPr>
          <w:rFonts w:hint="eastAsia"/>
          <w:sz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ascii="黑体" w:eastAsia="黑体" w:hAnsi="黑体" w:cs="黑体" w:hint="eastAsia"/>
          <w:sz w:val="28"/>
          <w:lang w:val="en-US" w:eastAsia="zh-CN"/>
        </w:rPr>
      </w:pPr>
      <w:r>
        <w:rPr>
          <w:rFonts w:ascii="黑体" w:eastAsia="黑体" w:hAnsi="黑体" w:cs="黑体" w:hint="eastAsia"/>
          <w:sz w:val="28"/>
          <w:lang w:val="en-US" w:eastAsia="zh-CN"/>
        </w:rPr>
        <w:t>三、合同期限（</w:t>
      </w:r>
      <w:r>
        <w:rPr>
          <w:rFonts w:ascii="黑体" w:eastAsia="黑体" w:hAnsi="黑体" w:cs="黑体" w:hint="eastAsia"/>
          <w:kern w:val="2"/>
          <w:sz w:val="28"/>
          <w:szCs w:val="32"/>
          <w:lang w:val="en-US" w:eastAsia="zh-CN"/>
        </w:rPr>
        <w:t>响应人须在此处填写承诺的合同期限，期限范围为1至3年</w:t>
      </w:r>
      <w:r>
        <w:rPr>
          <w:rFonts w:ascii="黑体" w:eastAsia="黑体" w:hAnsi="黑体" w:cs="黑体" w:hint="eastAsia"/>
          <w:sz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sz w:val="28"/>
          <w:lang w:val="en-US" w:eastAsia="zh-CN"/>
        </w:rPr>
      </w:pPr>
      <w:r>
        <w:rPr>
          <w:rFonts w:hint="eastAsia"/>
          <w:sz w:val="28"/>
          <w:lang w:val="en-US" w:eastAsia="zh-CN"/>
        </w:rPr>
        <w:t>协议有效期为X年，自签订之日起计算。</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asciiTheme="minorEastAsia" w:eastAsiaTheme="minorEastAsia" w:hAnsiTheme="minorEastAsia" w:cstheme="minorEastAsia" w:hint="eastAsia"/>
          <w:b w:val="0"/>
          <w:bCs/>
          <w:i w:val="0"/>
          <w:strike w:val="0"/>
          <w:color w:val="000000"/>
          <w:sz w:val="28"/>
          <w:szCs w:val="28"/>
          <w:highlight w:val="none"/>
          <w:u w:val="none"/>
        </w:rPr>
      </w:pPr>
      <w:r>
        <w:rPr>
          <w:rFonts w:ascii="黑体" w:eastAsia="黑体" w:hAnsi="黑体" w:cs="黑体" w:hint="eastAsia"/>
          <w:b w:val="0"/>
          <w:bCs/>
          <w:i w:val="0"/>
          <w:strike w:val="0"/>
          <w:color w:val="000000"/>
          <w:sz w:val="28"/>
          <w:szCs w:val="28"/>
          <w:highlight w:val="none"/>
          <w:u w:val="none"/>
          <w:lang w:val="en-US" w:eastAsia="zh-CN"/>
        </w:rPr>
        <w:t>四</w:t>
      </w:r>
      <w:r>
        <w:rPr>
          <w:rFonts w:ascii="黑体" w:eastAsia="黑体" w:hAnsi="黑体" w:cs="黑体" w:hint="eastAsia"/>
          <w:b w:val="0"/>
          <w:bCs/>
          <w:i w:val="0"/>
          <w:strike w:val="0"/>
          <w:color w:val="000000"/>
          <w:sz w:val="28"/>
          <w:szCs w:val="28"/>
          <w:highlight w:val="none"/>
          <w:u w:val="none"/>
        </w:rPr>
        <w:t>、独家经营权：响应人享有本项目独家经营权。</w:t>
      </w: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r>
        <w:rPr>
          <w:rFonts w:ascii="仿宋_GB2312" w:eastAsia="仿宋_GB2312" w:hAnsi="仿宋_GB2312" w:cs="仿宋_GB2312" w:hint="eastAsia"/>
          <w:b w:val="0"/>
          <w:bCs/>
          <w:i w:val="0"/>
          <w:strike w:val="0"/>
          <w:color w:val="000000"/>
          <w:sz w:val="28"/>
          <w:szCs w:val="28"/>
          <w:u w:val="none"/>
        </w:rPr>
        <w:t>本公司已完全知晓以上收费标准、方式及相关要求，如我公司成功中选将严格执行以上条款按时足额向贵公司支付履约保证金及授权经营费。</w:t>
      </w: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ascii="仿宋_GB2312" w:eastAsia="仿宋_GB2312" w:hAnsi="仿宋_GB2312" w:cs="仿宋_GB2312" w:hint="eastAsia"/>
          <w:b/>
          <w:sz w:val="28"/>
          <w:szCs w:val="28"/>
        </w:rPr>
      </w:pPr>
      <w:r>
        <w:rPr>
          <w:rFonts w:ascii="仿宋_GB2312" w:eastAsia="仿宋_GB2312" w:hAnsi="仿宋_GB2312" w:cs="仿宋_GB2312" w:hint="eastAsia"/>
          <w:b w:val="0"/>
          <w:bCs/>
          <w:i w:val="0"/>
          <w:strike w:val="0"/>
          <w:color w:val="000000"/>
          <w:sz w:val="28"/>
          <w:szCs w:val="28"/>
          <w:u w:val="none"/>
          <w:lang w:val="en-US" w:eastAsia="zh-CN"/>
        </w:rPr>
        <w:t xml:space="preserve">                            </w:t>
      </w:r>
      <w:r>
        <w:rPr>
          <w:rFonts w:ascii="仿宋_GB2312" w:eastAsia="仿宋_GB2312" w:hAnsi="仿宋_GB2312" w:cs="仿宋_GB2312" w:hint="eastAsia"/>
          <w:b w:val="0"/>
          <w:bCs/>
          <w:i w:val="0"/>
          <w:strike w:val="0"/>
          <w:color w:val="000000"/>
          <w:sz w:val="28"/>
          <w:szCs w:val="28"/>
          <w:u w:val="none"/>
        </w:rPr>
        <w:t>响应人：</w:t>
      </w:r>
      <w:r>
        <w:rPr>
          <w:rFonts w:ascii="仿宋_GB2312" w:eastAsia="仿宋_GB2312" w:hAnsi="仿宋_GB2312" w:cs="仿宋_GB2312" w:hint="eastAsia"/>
          <w:b w:val="0"/>
          <w:bCs/>
          <w:i w:val="0"/>
          <w:strike w:val="0"/>
          <w:color w:val="000000"/>
          <w:sz w:val="28"/>
          <w:szCs w:val="28"/>
          <w:u w:val="none"/>
          <w:lang w:val="en-US" w:eastAsia="zh-CN"/>
        </w:rPr>
        <w:t xml:space="preserve">             </w:t>
      </w:r>
      <w:r>
        <w:rPr>
          <w:rFonts w:ascii="仿宋_GB2312" w:eastAsia="仿宋_GB2312" w:hAnsi="仿宋_GB2312" w:cs="仿宋_GB2312" w:hint="eastAsia"/>
          <w:b w:val="0"/>
          <w:bCs/>
          <w:i w:val="0"/>
          <w:strike w:val="0"/>
          <w:color w:val="000000"/>
          <w:sz w:val="28"/>
          <w:szCs w:val="28"/>
          <w:u w:val="none"/>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仿宋_GB2312" w:eastAsia="仿宋_GB2312" w:hAnsi="仿宋_GB2312" w:cs="仿宋_GB2312" w:hint="eastAsia"/>
          <w:b w:val="0"/>
          <w:bCs/>
          <w:i w:val="0"/>
          <w:strike w:val="0"/>
          <w:color w:val="000000"/>
          <w:spacing w:val="0"/>
          <w:sz w:val="32"/>
          <w:szCs w:val="32"/>
          <w:u w:val="none"/>
          <w:shd w:val="clear" w:color="auto" w:fill="FFFFFF"/>
        </w:rPr>
      </w:pP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日期：</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 xml:space="preserve">年  </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 xml:space="preserve">月  </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日</w:t>
      </w:r>
    </w:p>
    <w:p>
      <w:pPr>
        <w:ind w:left="0" w:firstLine="640"/>
        <w:jc w:val="both"/>
        <w:rPr>
          <w:rFonts w:ascii="方正小标宋简体" w:eastAsia="方正小标宋简体" w:hAnsi="方正小标宋简体" w:cs="方正小标宋简体" w:hint="eastAsia"/>
          <w:lang w:val="en-US" w:eastAsia="zh-CN"/>
        </w:rPr>
        <w:sectPr>
          <w:pgSz w:w="11906" w:h="16838"/>
          <w:pgMar w:top="2098" w:right="1474" w:bottom="1984" w:left="1587" w:header="851" w:footer="992" w:gutter="0"/>
          <w:pgNumType w:fmt="numberInDash"/>
          <w:cols w:num="1" w:space="0"/>
          <w:rtlGutter w:val="0"/>
          <w:docGrid w:type="lines" w:linePitch="439" w:charSpace="0"/>
        </w:sectPr>
      </w:pPr>
    </w:p>
    <w:p>
      <w:pPr>
        <w:ind w:left="0" w:firstLine="0"/>
        <w:jc w:val="left"/>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附件4：</w:t>
      </w:r>
    </w:p>
    <w:p>
      <w:pPr>
        <w:ind w:left="0" w:firstLine="0"/>
        <w:jc w:val="center"/>
        <w:rPr>
          <w:rFonts w:ascii="方正小标宋简体" w:eastAsia="方正小标宋简体" w:hAnsi="方正小标宋简体" w:cs="方正小标宋简体" w:hint="eastAsia"/>
          <w:lang w:eastAsia="zh-CN"/>
        </w:rPr>
      </w:pPr>
      <w:r>
        <w:rPr>
          <w:rFonts w:ascii="方正小标宋简体" w:eastAsia="方正小标宋简体" w:hAnsi="方正小标宋简体" w:cs="方正小标宋简体" w:hint="eastAsia"/>
          <w:lang w:eastAsia="zh-CN"/>
        </w:rPr>
        <w:t>提成方案报价</w:t>
      </w:r>
      <w:r>
        <w:rPr>
          <w:rFonts w:ascii="方正小标宋简体" w:eastAsia="方正小标宋简体" w:hAnsi="方正小标宋简体" w:cs="方正小标宋简体" w:hint="eastAsia"/>
          <w:lang w:val="en-US" w:eastAsia="zh-CN"/>
        </w:rPr>
        <w:t>文件</w:t>
      </w:r>
      <w:r>
        <w:rPr>
          <w:rFonts w:ascii="方正小标宋简体" w:eastAsia="方正小标宋简体" w:hAnsi="方正小标宋简体" w:cs="方正小标宋简体" w:hint="eastAsia"/>
          <w:lang w:eastAsia="zh-CN"/>
        </w:rPr>
        <w:t>（响应人填写）</w:t>
      </w:r>
    </w:p>
    <w:p>
      <w:pPr>
        <w:ind w:left="0" w:firstLine="0"/>
        <w:jc w:val="center"/>
        <w:rPr>
          <w:rFonts w:ascii="方正小标宋简体" w:eastAsia="方正小标宋简体" w:hAnsi="方正小标宋简体" w:cs="方正小标宋简体" w:hint="eastAsia"/>
          <w:lang w:eastAsia="zh-CN"/>
        </w:rPr>
      </w:pPr>
    </w:p>
    <w:tbl>
      <w:tblPr>
        <w:tblStyle w:val="TableGrid"/>
        <w:tblpPr w:leftFromText="180" w:rightFromText="180" w:vertAnchor="text" w:horzAnchor="page" w:tblpX="1597" w:tblpY="550"/>
        <w:tblOverlap w:val="never"/>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3"/>
        <w:gridCol w:w="2908"/>
        <w:gridCol w:w="1469"/>
        <w:gridCol w:w="3078"/>
      </w:tblGrid>
      <w:tr>
        <w:tblPrEx>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69"/>
        </w:trPr>
        <w:tc>
          <w:tcPr>
            <w:tcW w:w="4331" w:type="dxa"/>
            <w:gridSpan w:val="2"/>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color w:val="333333"/>
                <w:kern w:val="2"/>
                <w:sz w:val="28"/>
                <w:szCs w:val="28"/>
                <w:u w:val="none"/>
                <w:shd w:val="clear" w:color="auto" w:fill="auto"/>
                <w:lang w:val="en-US" w:eastAsia="zh-CN"/>
              </w:rPr>
              <w:t>阶梯销售额区间（</w:t>
            </w:r>
            <w:r>
              <w:rPr>
                <w:rFonts w:cs="仿宋_GB2312" w:hint="eastAsia"/>
                <w:color w:val="333333"/>
                <w:kern w:val="2"/>
                <w:sz w:val="28"/>
                <w:szCs w:val="28"/>
                <w:u w:val="none"/>
                <w:shd w:val="clear" w:color="auto" w:fill="auto"/>
                <w:lang w:val="en-US" w:eastAsia="zh-CN"/>
              </w:rPr>
              <w:t>单位：</w:t>
            </w:r>
            <w:r>
              <w:rPr>
                <w:rFonts w:ascii="仿宋_GB2312" w:eastAsia="仿宋_GB2312" w:hAnsi="仿宋_GB2312" w:cs="仿宋_GB2312" w:hint="eastAsia"/>
                <w:color w:val="333333"/>
                <w:kern w:val="2"/>
                <w:sz w:val="28"/>
                <w:szCs w:val="28"/>
                <w:u w:val="none"/>
                <w:shd w:val="clear" w:color="auto" w:fill="auto"/>
                <w:lang w:val="en-US" w:eastAsia="zh-CN"/>
              </w:rPr>
              <w:t>人民币，万元）</w:t>
            </w:r>
          </w:p>
        </w:tc>
        <w:tc>
          <w:tcPr>
            <w:tcW w:w="1469" w:type="dxa"/>
            <w:vAlign w:val="center"/>
          </w:tcPr>
          <w:p>
            <w:pPr>
              <w:widowControl/>
              <w:spacing w:line="240" w:lineRule="auto"/>
              <w:ind w:firstLine="0"/>
              <w:jc w:val="center"/>
              <w:rPr>
                <w:rFonts w:ascii="仿宋_GB2312" w:eastAsia="仿宋_GB2312" w:hAnsi="仿宋_GB2312" w:cs="仿宋_GB2312" w:hint="default"/>
                <w:color w:val="333333"/>
                <w:kern w:val="2"/>
                <w:sz w:val="28"/>
                <w:szCs w:val="28"/>
                <w:u w:val="none"/>
                <w:shd w:val="clear" w:color="auto" w:fill="auto"/>
                <w:lang w:val="en-US" w:eastAsia="zh-CN"/>
              </w:rPr>
            </w:pPr>
            <w:r>
              <w:rPr>
                <w:rFonts w:cs="仿宋_GB2312" w:hint="eastAsia"/>
                <w:color w:val="333333"/>
                <w:kern w:val="2"/>
                <w:sz w:val="28"/>
                <w:szCs w:val="28"/>
                <w:u w:val="none"/>
                <w:shd w:val="clear" w:color="auto" w:fill="auto"/>
                <w:lang w:val="en-US" w:eastAsia="zh-CN"/>
              </w:rPr>
              <w:t>基准比例要求</w:t>
            </w:r>
          </w:p>
        </w:tc>
        <w:tc>
          <w:tcPr>
            <w:tcW w:w="3078" w:type="dxa"/>
            <w:vAlign w:val="center"/>
          </w:tcPr>
          <w:p>
            <w:pPr>
              <w:widowControl/>
              <w:spacing w:line="240" w:lineRule="auto"/>
              <w:ind w:firstLine="0"/>
              <w:jc w:val="both"/>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color w:val="333333"/>
                <w:kern w:val="2"/>
                <w:sz w:val="28"/>
                <w:szCs w:val="28"/>
                <w:u w:val="none"/>
                <w:shd w:val="clear" w:color="auto" w:fill="auto"/>
                <w:lang w:val="en-US" w:eastAsia="zh-CN"/>
              </w:rPr>
              <w:t>响应人报出的阶梯提成比例</w:t>
            </w:r>
          </w:p>
        </w:tc>
      </w:tr>
      <w:tr>
        <w:tblPrEx>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8"/>
        </w:trPr>
        <w:tc>
          <w:tcPr>
            <w:tcW w:w="1423"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val="en-US" w:eastAsia="zh-CN"/>
              </w:rPr>
            </w:pPr>
            <w:r>
              <w:rPr>
                <w:rFonts w:ascii="仿宋_GB2312" w:eastAsia="仿宋_GB2312" w:hAnsi="仿宋_GB2312" w:cs="仿宋_GB2312" w:hint="eastAsia"/>
                <w:color w:val="333333"/>
                <w:sz w:val="28"/>
                <w:szCs w:val="28"/>
                <w:u w:val="none"/>
                <w:shd w:val="clear" w:color="auto" w:fill="auto"/>
                <w:vertAlign w:val="baseline"/>
                <w:lang w:val="en-US" w:eastAsia="zh-CN"/>
              </w:rPr>
              <w:t>第一阶梯</w:t>
            </w:r>
          </w:p>
        </w:tc>
        <w:tc>
          <w:tcPr>
            <w:tcW w:w="2908"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color w:val="333333"/>
                <w:kern w:val="2"/>
                <w:sz w:val="28"/>
                <w:szCs w:val="28"/>
                <w:u w:val="none"/>
                <w:shd w:val="clear" w:color="auto" w:fill="auto"/>
                <w:lang w:val="en-US" w:eastAsia="zh-CN"/>
              </w:rPr>
              <w:t>1</w:t>
            </w:r>
            <w:r>
              <w:rPr>
                <w:rFonts w:cs="仿宋_GB2312" w:hint="eastAsia"/>
                <w:color w:val="333333"/>
                <w:kern w:val="2"/>
                <w:sz w:val="28"/>
                <w:szCs w:val="28"/>
                <w:u w:val="none"/>
                <w:shd w:val="clear" w:color="auto" w:fill="auto"/>
                <w:lang w:val="en-US" w:eastAsia="zh-CN"/>
              </w:rPr>
              <w:t xml:space="preserve"> </w:t>
            </w:r>
            <w:r>
              <w:rPr>
                <w:rFonts w:ascii="仿宋_GB2312" w:eastAsia="仿宋_GB2312" w:hAnsi="仿宋_GB2312" w:cs="仿宋_GB2312" w:hint="eastAsia"/>
                <w:color w:val="333333"/>
                <w:kern w:val="2"/>
                <w:sz w:val="28"/>
                <w:szCs w:val="28"/>
                <w:u w:val="none"/>
                <w:shd w:val="clear" w:color="auto" w:fill="auto"/>
                <w:lang w:val="en-US" w:eastAsia="zh-CN"/>
              </w:rPr>
              <w:t>-</w:t>
            </w:r>
            <w:r>
              <w:rPr>
                <w:rFonts w:cs="仿宋_GB2312" w:hint="eastAsia"/>
                <w:color w:val="333333"/>
                <w:kern w:val="2"/>
                <w:sz w:val="28"/>
                <w:szCs w:val="28"/>
                <w:u w:val="none"/>
                <w:shd w:val="clear" w:color="auto" w:fill="auto"/>
                <w:lang w:val="en-US" w:eastAsia="zh-CN"/>
              </w:rPr>
              <w:t xml:space="preserve"> </w:t>
            </w:r>
            <w:r>
              <w:rPr>
                <w:rFonts w:ascii="仿宋_GB2312" w:eastAsia="仿宋_GB2312" w:hAnsi="仿宋_GB2312" w:cs="仿宋_GB2312" w:hint="eastAsia"/>
                <w:color w:val="333333"/>
                <w:kern w:val="2"/>
                <w:sz w:val="28"/>
                <w:szCs w:val="28"/>
                <w:u w:val="none"/>
                <w:shd w:val="clear" w:color="auto" w:fill="auto"/>
                <w:lang w:val="en-US" w:eastAsia="zh-CN"/>
              </w:rPr>
              <w:t>200（含）</w:t>
            </w:r>
          </w:p>
        </w:tc>
        <w:tc>
          <w:tcPr>
            <w:tcW w:w="1469" w:type="dxa"/>
            <w:vAlign w:val="center"/>
          </w:tcPr>
          <w:p>
            <w:pPr>
              <w:widowControl/>
              <w:spacing w:line="240" w:lineRule="auto"/>
              <w:ind w:firstLine="0"/>
              <w:jc w:val="center"/>
              <w:rPr>
                <w:rFonts w:ascii="仿宋_GB2312" w:eastAsia="仿宋_GB2312" w:hAnsi="仿宋_GB2312" w:cs="仿宋_GB2312" w:hint="default"/>
                <w:color w:val="333333"/>
                <w:sz w:val="28"/>
                <w:szCs w:val="28"/>
                <w:u w:val="none"/>
                <w:shd w:val="clear" w:color="auto" w:fill="auto"/>
                <w:vertAlign w:val="baseline"/>
                <w:lang w:val="en-US" w:eastAsia="zh-CN"/>
              </w:rPr>
            </w:pPr>
            <w:r>
              <w:rPr>
                <w:rFonts w:cs="仿宋_GB2312" w:hint="eastAsia"/>
                <w:color w:val="333333"/>
                <w:sz w:val="28"/>
                <w:szCs w:val="28"/>
                <w:u w:val="none"/>
                <w:shd w:val="clear" w:color="auto" w:fill="auto"/>
                <w:vertAlign w:val="baseline"/>
                <w:lang w:val="en-US" w:eastAsia="zh-CN"/>
              </w:rPr>
              <w:t>≥2%</w:t>
            </w:r>
          </w:p>
        </w:tc>
        <w:tc>
          <w:tcPr>
            <w:tcW w:w="3078" w:type="dxa"/>
            <w:vAlign w:val="center"/>
          </w:tcPr>
          <w:p>
            <w:pPr>
              <w:widowControl/>
              <w:spacing w:line="240" w:lineRule="auto"/>
              <w:ind w:firstLine="560"/>
              <w:jc w:val="center"/>
              <w:rPr>
                <w:rFonts w:ascii="仿宋_GB2312" w:eastAsia="仿宋_GB2312" w:hAnsi="仿宋_GB2312" w:cs="仿宋_GB2312" w:hint="eastAsia"/>
                <w:color w:val="333333"/>
                <w:sz w:val="28"/>
                <w:szCs w:val="28"/>
                <w:u w:val="none"/>
                <w:shd w:val="clear" w:color="auto" w:fill="auto"/>
                <w:vertAlign w:val="baseline"/>
                <w:lang w:eastAsia="zh-CN"/>
              </w:rPr>
            </w:pPr>
          </w:p>
        </w:tc>
      </w:tr>
      <w:tr>
        <w:tblPrEx>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40"/>
        </w:trPr>
        <w:tc>
          <w:tcPr>
            <w:tcW w:w="1423"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val="en-US" w:eastAsia="zh-CN"/>
              </w:rPr>
            </w:pPr>
            <w:r>
              <w:rPr>
                <w:rFonts w:ascii="仿宋_GB2312" w:eastAsia="仿宋_GB2312" w:hAnsi="仿宋_GB2312" w:cs="仿宋_GB2312" w:hint="eastAsia"/>
                <w:color w:val="333333"/>
                <w:sz w:val="28"/>
                <w:szCs w:val="28"/>
                <w:u w:val="none"/>
                <w:shd w:val="clear" w:color="auto" w:fill="auto"/>
                <w:vertAlign w:val="baseline"/>
                <w:lang w:val="en-US" w:eastAsia="zh-CN"/>
              </w:rPr>
              <w:t>第二阶梯</w:t>
            </w:r>
          </w:p>
        </w:tc>
        <w:tc>
          <w:tcPr>
            <w:tcW w:w="2908"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i w:val="0"/>
                <w:iCs w:val="0"/>
                <w:caps w:val="0"/>
                <w:color w:val="333333"/>
                <w:spacing w:val="0"/>
                <w:sz w:val="28"/>
                <w:szCs w:val="28"/>
                <w:u w:val="none"/>
                <w:shd w:val="clear" w:color="auto" w:fill="auto"/>
              </w:rPr>
              <w:t>200 - 400（含）</w:t>
            </w:r>
          </w:p>
        </w:tc>
        <w:tc>
          <w:tcPr>
            <w:tcW w:w="1469"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cs="仿宋_GB2312" w:hint="eastAsia"/>
                <w:color w:val="333333"/>
                <w:sz w:val="28"/>
                <w:szCs w:val="28"/>
                <w:u w:val="none"/>
                <w:shd w:val="clear" w:color="auto" w:fill="auto"/>
                <w:vertAlign w:val="baseline"/>
                <w:lang w:val="en-US" w:eastAsia="zh-CN"/>
              </w:rPr>
              <w:t>≥3%</w:t>
            </w:r>
          </w:p>
        </w:tc>
        <w:tc>
          <w:tcPr>
            <w:tcW w:w="3078" w:type="dxa"/>
            <w:vAlign w:val="center"/>
          </w:tcPr>
          <w:p>
            <w:pPr>
              <w:widowControl/>
              <w:spacing w:line="240" w:lineRule="auto"/>
              <w:ind w:firstLine="560"/>
              <w:jc w:val="center"/>
              <w:rPr>
                <w:rFonts w:ascii="仿宋_GB2312" w:eastAsia="仿宋_GB2312" w:hAnsi="仿宋_GB2312" w:cs="仿宋_GB2312" w:hint="eastAsia"/>
                <w:color w:val="333333"/>
                <w:sz w:val="28"/>
                <w:szCs w:val="28"/>
                <w:u w:val="none"/>
                <w:shd w:val="clear" w:color="auto" w:fill="auto"/>
                <w:vertAlign w:val="baseline"/>
                <w:lang w:eastAsia="zh-CN"/>
              </w:rPr>
            </w:pPr>
          </w:p>
        </w:tc>
      </w:tr>
      <w:tr>
        <w:tblPrEx>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40"/>
        </w:trPr>
        <w:tc>
          <w:tcPr>
            <w:tcW w:w="1423"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b w:val="0"/>
                <w:bCs w:val="0"/>
                <w:i w:val="0"/>
                <w:iCs w:val="0"/>
                <w:caps w:val="0"/>
                <w:color w:val="333333"/>
                <w:spacing w:val="0"/>
                <w:sz w:val="28"/>
                <w:szCs w:val="28"/>
                <w:u w:val="none"/>
                <w:shd w:val="clear" w:color="auto" w:fill="auto"/>
                <w:vertAlign w:val="baseline"/>
              </w:rPr>
              <w:t>第三阶梯</w:t>
            </w:r>
          </w:p>
        </w:tc>
        <w:tc>
          <w:tcPr>
            <w:tcW w:w="2908"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i w:val="0"/>
                <w:iCs w:val="0"/>
                <w:caps w:val="0"/>
                <w:color w:val="333333"/>
                <w:spacing w:val="0"/>
                <w:sz w:val="28"/>
                <w:szCs w:val="28"/>
                <w:u w:val="none"/>
                <w:shd w:val="clear" w:color="auto" w:fill="auto"/>
              </w:rPr>
              <w:t>400 - 800（含</w:t>
            </w:r>
            <w:r>
              <w:rPr>
                <w:rFonts w:ascii="仿宋_GB2312" w:eastAsia="仿宋_GB2312" w:hAnsi="仿宋_GB2312" w:cs="仿宋_GB2312" w:hint="eastAsia"/>
                <w:i w:val="0"/>
                <w:iCs w:val="0"/>
                <w:caps w:val="0"/>
                <w:color w:val="333333"/>
                <w:spacing w:val="0"/>
                <w:sz w:val="28"/>
                <w:szCs w:val="28"/>
                <w:u w:val="none"/>
                <w:shd w:val="clear" w:color="auto" w:fill="auto"/>
                <w:lang w:eastAsia="zh-CN"/>
              </w:rPr>
              <w:t>）</w:t>
            </w:r>
          </w:p>
        </w:tc>
        <w:tc>
          <w:tcPr>
            <w:tcW w:w="1469"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cs="仿宋_GB2312" w:hint="eastAsia"/>
                <w:color w:val="333333"/>
                <w:sz w:val="28"/>
                <w:szCs w:val="28"/>
                <w:u w:val="none"/>
                <w:shd w:val="clear" w:color="auto" w:fill="auto"/>
                <w:vertAlign w:val="baseline"/>
                <w:lang w:val="en-US" w:eastAsia="zh-CN"/>
              </w:rPr>
              <w:t>≥4%</w:t>
            </w:r>
          </w:p>
        </w:tc>
        <w:tc>
          <w:tcPr>
            <w:tcW w:w="3078" w:type="dxa"/>
            <w:vAlign w:val="center"/>
          </w:tcPr>
          <w:p>
            <w:pPr>
              <w:widowControl/>
              <w:spacing w:line="240" w:lineRule="auto"/>
              <w:ind w:firstLine="560"/>
              <w:jc w:val="center"/>
              <w:rPr>
                <w:rFonts w:ascii="仿宋_GB2312" w:eastAsia="仿宋_GB2312" w:hAnsi="仿宋_GB2312" w:cs="仿宋_GB2312" w:hint="eastAsia"/>
                <w:color w:val="333333"/>
                <w:sz w:val="28"/>
                <w:szCs w:val="28"/>
                <w:u w:val="none"/>
                <w:shd w:val="clear" w:color="auto" w:fill="auto"/>
                <w:vertAlign w:val="baseline"/>
                <w:lang w:eastAsia="zh-CN"/>
              </w:rPr>
            </w:pPr>
          </w:p>
        </w:tc>
      </w:tr>
      <w:tr>
        <w:tblPrEx>
          <w:tblW w:w="88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49"/>
        </w:trPr>
        <w:tc>
          <w:tcPr>
            <w:tcW w:w="1423"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b w:val="0"/>
                <w:bCs w:val="0"/>
                <w:i w:val="0"/>
                <w:iCs w:val="0"/>
                <w:caps w:val="0"/>
                <w:color w:val="333333"/>
                <w:spacing w:val="0"/>
                <w:sz w:val="28"/>
                <w:szCs w:val="28"/>
                <w:u w:val="none"/>
                <w:shd w:val="clear" w:color="auto" w:fill="auto"/>
                <w:vertAlign w:val="baseline"/>
              </w:rPr>
              <w:t>第四阶梯</w:t>
            </w:r>
          </w:p>
        </w:tc>
        <w:tc>
          <w:tcPr>
            <w:tcW w:w="2908"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ascii="仿宋_GB2312" w:eastAsia="仿宋_GB2312" w:hAnsi="仿宋_GB2312" w:cs="仿宋_GB2312" w:hint="eastAsia"/>
                <w:i w:val="0"/>
                <w:iCs w:val="0"/>
                <w:caps w:val="0"/>
                <w:color w:val="333333"/>
                <w:spacing w:val="0"/>
                <w:sz w:val="28"/>
                <w:szCs w:val="28"/>
                <w:u w:val="none"/>
                <w:shd w:val="clear" w:color="auto" w:fill="auto"/>
              </w:rPr>
              <w:t>800以上</w:t>
            </w:r>
          </w:p>
        </w:tc>
        <w:tc>
          <w:tcPr>
            <w:tcW w:w="1469" w:type="dxa"/>
            <w:vAlign w:val="center"/>
          </w:tcPr>
          <w:p>
            <w:pPr>
              <w:widowControl/>
              <w:spacing w:line="240" w:lineRule="auto"/>
              <w:ind w:firstLine="0"/>
              <w:jc w:val="center"/>
              <w:rPr>
                <w:rFonts w:ascii="仿宋_GB2312" w:eastAsia="仿宋_GB2312" w:hAnsi="仿宋_GB2312" w:cs="仿宋_GB2312" w:hint="eastAsia"/>
                <w:color w:val="333333"/>
                <w:sz w:val="28"/>
                <w:szCs w:val="28"/>
                <w:u w:val="none"/>
                <w:shd w:val="clear" w:color="auto" w:fill="auto"/>
                <w:vertAlign w:val="baseline"/>
                <w:lang w:eastAsia="zh-CN"/>
              </w:rPr>
            </w:pPr>
            <w:r>
              <w:rPr>
                <w:rFonts w:cs="仿宋_GB2312" w:hint="eastAsia"/>
                <w:color w:val="333333"/>
                <w:sz w:val="28"/>
                <w:szCs w:val="28"/>
                <w:u w:val="none"/>
                <w:shd w:val="clear" w:color="auto" w:fill="auto"/>
                <w:vertAlign w:val="baseline"/>
                <w:lang w:val="en-US" w:eastAsia="zh-CN"/>
              </w:rPr>
              <w:t>≥5%</w:t>
            </w:r>
          </w:p>
        </w:tc>
        <w:tc>
          <w:tcPr>
            <w:tcW w:w="3078" w:type="dxa"/>
            <w:vAlign w:val="center"/>
          </w:tcPr>
          <w:p>
            <w:pPr>
              <w:widowControl/>
              <w:spacing w:line="240" w:lineRule="auto"/>
              <w:ind w:firstLine="560"/>
              <w:jc w:val="center"/>
              <w:rPr>
                <w:rFonts w:ascii="仿宋_GB2312" w:eastAsia="仿宋_GB2312" w:hAnsi="仿宋_GB2312" w:cs="仿宋_GB2312" w:hint="eastAsia"/>
                <w:color w:val="333333"/>
                <w:sz w:val="28"/>
                <w:szCs w:val="28"/>
                <w:u w:val="none"/>
                <w:shd w:val="clear" w:color="auto" w:fill="auto"/>
                <w:vertAlign w:val="baseline"/>
                <w:lang w:eastAsia="zh-CN"/>
              </w:rPr>
            </w:pPr>
          </w:p>
        </w:tc>
      </w:tr>
    </w:tbl>
    <w:p>
      <w:pPr>
        <w:ind w:left="0" w:firstLine="0"/>
        <w:jc w:val="left"/>
        <w:rPr>
          <w:rFonts w:cs="仿宋_GB2312" w:hint="eastAsia"/>
          <w:b w:val="0"/>
          <w:bCs w:val="0"/>
          <w:sz w:val="28"/>
          <w:szCs w:val="28"/>
          <w:lang w:val="en-US" w:eastAsia="zh-CN"/>
        </w:rPr>
      </w:pPr>
      <w:r>
        <w:rPr>
          <w:rFonts w:cs="仿宋_GB2312" w:hint="eastAsia"/>
          <w:b/>
          <w:bCs/>
          <w:sz w:val="28"/>
          <w:szCs w:val="28"/>
          <w:lang w:val="en-US" w:eastAsia="zh-CN"/>
        </w:rPr>
        <w:t xml:space="preserve"> </w:t>
      </w:r>
      <w:r>
        <w:rPr>
          <w:rFonts w:cs="仿宋_GB2312" w:hint="eastAsia"/>
          <w:b w:val="0"/>
          <w:bCs w:val="0"/>
          <w:sz w:val="28"/>
          <w:szCs w:val="28"/>
          <w:lang w:val="en-US" w:eastAsia="zh-CN"/>
        </w:rPr>
        <w:t xml:space="preserve"> </w:t>
      </w:r>
    </w:p>
    <w:p>
      <w:pPr>
        <w:ind w:left="0" w:firstLine="640"/>
        <w:jc w:val="both"/>
        <w:rPr>
          <w:rFonts w:ascii="方正小标宋简体" w:eastAsia="方正小标宋简体" w:hAnsi="方正小标宋简体" w:cs="方正小标宋简体" w:hint="eastAsia"/>
          <w:lang w:eastAsia="zh-CN"/>
        </w:rPr>
      </w:pPr>
    </w:p>
    <w:p>
      <w:pPr>
        <w:ind w:left="0" w:firstLine="0"/>
        <w:jc w:val="both"/>
        <w:rPr>
          <w:rFonts w:ascii="方正小标宋简体" w:eastAsia="方正小标宋简体" w:hAnsi="方正小标宋简体" w:cs="方正小标宋简体" w:hint="eastAsia"/>
          <w:lang w:eastAsia="zh-CN"/>
        </w:rPr>
      </w:pPr>
    </w:p>
    <w:p>
      <w:pPr>
        <w:spacing w:line="240" w:lineRule="auto"/>
        <w:ind w:left="0" w:firstLine="560"/>
        <w:jc w:val="center"/>
        <w:rPr>
          <w:rFonts w:ascii="仿宋_GB2312" w:eastAsia="仿宋_GB2312" w:hAnsi="仿宋_GB2312" w:cs="仿宋_GB2312" w:hint="eastAsia"/>
          <w:bCs/>
          <w:color w:val="000000"/>
          <w:sz w:val="28"/>
          <w:szCs w:val="28"/>
          <w:u w:val="none"/>
          <w:lang w:eastAsia="zh-CN"/>
        </w:rPr>
      </w:pPr>
    </w:p>
    <w:p>
      <w:pPr>
        <w:spacing w:line="240" w:lineRule="auto"/>
        <w:ind w:left="0" w:firstLine="560"/>
        <w:jc w:val="center"/>
        <w:rPr>
          <w:rFonts w:ascii="仿宋_GB2312" w:eastAsia="仿宋_GB2312" w:hAnsi="仿宋_GB2312" w:cs="仿宋_GB2312" w:hint="eastAsia"/>
          <w:bCs/>
          <w:color w:val="000000"/>
          <w:sz w:val="28"/>
          <w:szCs w:val="28"/>
          <w:u w:val="none"/>
          <w:lang w:val="en-US" w:eastAsia="zh-CN"/>
        </w:rPr>
      </w:pPr>
      <w:r>
        <w:rPr>
          <w:rFonts w:cs="仿宋_GB2312" w:hint="eastAsia"/>
          <w:bCs/>
          <w:color w:val="000000"/>
          <w:sz w:val="28"/>
          <w:szCs w:val="28"/>
          <w:u w:val="none"/>
          <w:lang w:val="en-US" w:eastAsia="zh-CN"/>
        </w:rPr>
        <w:t xml:space="preserve">                    </w:t>
      </w:r>
      <w:r>
        <w:rPr>
          <w:rFonts w:ascii="仿宋_GB2312" w:eastAsia="仿宋_GB2312" w:hAnsi="仿宋_GB2312" w:cs="仿宋_GB2312" w:hint="eastAsia"/>
          <w:bCs/>
          <w:color w:val="000000"/>
          <w:sz w:val="28"/>
          <w:szCs w:val="28"/>
          <w:u w:val="none"/>
          <w:lang w:val="en-US" w:eastAsia="zh-CN"/>
        </w:rPr>
        <w:t>响应人签字：      （加盖公章）</w:t>
      </w:r>
    </w:p>
    <w:p>
      <w:pPr>
        <w:spacing w:line="240" w:lineRule="auto"/>
        <w:ind w:left="0" w:firstLine="560"/>
        <w:jc w:val="center"/>
        <w:rPr>
          <w:rFonts w:ascii="仿宋_GB2312" w:eastAsia="仿宋_GB2312" w:hAnsi="仿宋_GB2312" w:cs="仿宋_GB2312" w:hint="eastAsia"/>
          <w:bCs/>
          <w:color w:val="000000"/>
          <w:sz w:val="28"/>
          <w:szCs w:val="28"/>
          <w:u w:val="none"/>
          <w:lang w:val="en-US" w:eastAsia="zh-CN"/>
        </w:rPr>
      </w:pPr>
    </w:p>
    <w:p>
      <w:pPr>
        <w:spacing w:line="240" w:lineRule="auto"/>
        <w:ind w:left="0" w:firstLine="560"/>
        <w:jc w:val="center"/>
        <w:rPr>
          <w:rFonts w:ascii="仿宋_GB2312" w:eastAsia="仿宋_GB2312" w:hAnsi="仿宋_GB2312" w:cs="仿宋_GB2312" w:hint="eastAsia"/>
          <w:bCs/>
          <w:color w:val="000000"/>
          <w:sz w:val="28"/>
          <w:szCs w:val="28"/>
          <w:u w:val="none"/>
          <w:lang w:val="en-US" w:eastAsia="zh-CN"/>
        </w:rPr>
      </w:pPr>
      <w:r>
        <w:rPr>
          <w:rFonts w:cs="仿宋_GB2312" w:hint="eastAsia"/>
          <w:bCs/>
          <w:color w:val="000000"/>
          <w:sz w:val="28"/>
          <w:szCs w:val="28"/>
          <w:u w:val="none"/>
          <w:lang w:val="en-US" w:eastAsia="zh-CN"/>
        </w:rPr>
        <w:t xml:space="preserve">                    </w:t>
      </w:r>
      <w:r>
        <w:rPr>
          <w:rFonts w:ascii="仿宋_GB2312" w:eastAsia="仿宋_GB2312" w:hAnsi="仿宋_GB2312" w:cs="仿宋_GB2312" w:hint="eastAsia"/>
          <w:bCs/>
          <w:color w:val="000000"/>
          <w:sz w:val="28"/>
          <w:szCs w:val="28"/>
          <w:u w:val="none"/>
          <w:lang w:val="en-US" w:eastAsia="zh-CN"/>
        </w:rPr>
        <w:t>日期：   年    月    日</w:t>
      </w:r>
    </w:p>
    <w:p>
      <w:pPr>
        <w:ind w:left="0" w:firstLine="640"/>
        <w:jc w:val="left"/>
        <w:rPr>
          <w:rFonts w:ascii="仿宋_GB2312" w:eastAsia="仿宋_GB2312" w:hAnsi="仿宋_GB2312" w:cstheme="minorBidi" w:hint="eastAsia"/>
          <w:lang w:val="en-US" w:eastAsia="zh-CN"/>
        </w:rPr>
      </w:pPr>
    </w:p>
    <w:p>
      <w:pPr>
        <w:tabs>
          <w:tab w:val="left" w:pos="796"/>
        </w:tabs>
        <w:ind w:left="0" w:firstLine="640"/>
        <w:jc w:val="left"/>
        <w:rPr>
          <w:rFonts w:hint="eastAsia"/>
          <w:lang w:val="en-US" w:eastAsia="zh-CN"/>
        </w:rPr>
        <w:sectPr>
          <w:pgSz w:w="11906" w:h="16838"/>
          <w:pgMar w:top="2098" w:right="1474" w:bottom="1984" w:left="1587" w:header="851" w:footer="992" w:gutter="0"/>
          <w:pgNumType w:fmt="numberInDash"/>
          <w:cols w:num="1" w:space="0"/>
          <w:rtlGutter w:val="0"/>
          <w:docGrid w:type="lines" w:linePitch="439" w:charSpace="0"/>
        </w:sectPr>
      </w:pPr>
    </w:p>
    <w:p>
      <w:pPr>
        <w:ind w:left="0" w:firstLine="0"/>
        <w:jc w:val="left"/>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附件5：</w:t>
      </w:r>
    </w:p>
    <w:p>
      <w:pPr>
        <w:ind w:left="0" w:firstLine="0"/>
        <w:jc w:val="center"/>
        <w:rPr>
          <w:rFonts w:ascii="方正小标宋简体" w:eastAsia="方正小标宋简体" w:hAnsi="方正小标宋简体" w:cs="方正小标宋简体" w:hint="eastAsia"/>
          <w:lang w:val="en-US" w:eastAsia="zh-CN"/>
        </w:rPr>
      </w:pPr>
      <w:r>
        <w:rPr>
          <w:rFonts w:ascii="方正小标宋简体" w:eastAsia="方正小标宋简体" w:hAnsi="方正小标宋简体" w:cs="方正小标宋简体" w:hint="eastAsia"/>
          <w:lang w:val="en-US" w:eastAsia="zh-CN"/>
        </w:rPr>
        <w:t>综合评分表</w:t>
      </w:r>
    </w:p>
    <w:p>
      <w:pPr>
        <w:ind w:left="0" w:firstLine="640"/>
        <w:jc w:val="center"/>
        <w:rPr>
          <w:rFonts w:ascii="方正小标宋简体" w:eastAsia="方正小标宋简体" w:hAnsi="方正小标宋简体" w:cs="方正小标宋简体" w:hint="eastAsia"/>
          <w:lang w:val="en-US" w:eastAsia="zh-CN"/>
        </w:rPr>
      </w:pPr>
    </w:p>
    <w:tbl>
      <w:tblPr>
        <w:tblStyle w:val="TableNormal"/>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
      <w:tblGrid>
        <w:gridCol w:w="871"/>
        <w:gridCol w:w="1236"/>
        <w:gridCol w:w="1598"/>
        <w:gridCol w:w="5662"/>
      </w:tblGrid>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2147"/>
          <w:jc w:val="center"/>
        </w:trPr>
        <w:tc>
          <w:tcPr>
            <w:tcW w:w="871"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响应人技术能力评分（40分）</w:t>
            </w:r>
          </w:p>
        </w:tc>
        <w:tc>
          <w:tcPr>
            <w:tcW w:w="1236"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企业综合实力（15分）</w:t>
            </w: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1" w:afterAutospacing="1"/>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企业雪茄品牌销售业绩（10分）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1.高端（稀缺）品牌资源（5分）：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（1）具备官方渠道获得高端（</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稀缺</w:t>
            </w:r>
            <w:r>
              <w:rPr>
                <w:rFonts w:asciiTheme="minorEastAsia" w:eastAsiaTheme="minorEastAsia" w:hAnsiTheme="minorEastAsia" w:cstheme="minorEastAsia" w:hint="eastAsia"/>
                <w:i w:val="0"/>
                <w:strike w:val="0"/>
                <w:color w:val="000000"/>
                <w:kern w:val="2"/>
                <w:sz w:val="24"/>
                <w:szCs w:val="24"/>
                <w:u w:val="none"/>
                <w:lang w:val="en-US" w:eastAsia="zh-CN" w:bidi="ar-SA"/>
              </w:rPr>
              <w:t>）雪茄品牌</w:t>
            </w:r>
            <w:r>
              <w:rPr>
                <w:rFonts w:asciiTheme="minorEastAsia" w:eastAsiaTheme="minorEastAsia" w:hAnsiTheme="minorEastAsia" w:cstheme="minorEastAsia" w:hint="eastAsia"/>
                <w:color w:val="000000"/>
                <w:sz w:val="24"/>
                <w:szCs w:val="24"/>
                <w:u w:val="none"/>
                <w:lang w:val="en-US" w:eastAsia="zh-CN" w:bidi="ar-SA"/>
              </w:rPr>
              <w:t>包括但不限于</w:t>
            </w:r>
            <w:r>
              <w:rPr>
                <w:rFonts w:asciiTheme="minorEastAsia" w:eastAsiaTheme="minorEastAsia" w:hAnsiTheme="minorEastAsia" w:cstheme="minorEastAsia" w:hint="eastAsia"/>
                <w:color w:val="000000"/>
                <w:sz w:val="24"/>
                <w:szCs w:val="24"/>
                <w:u w:val="none"/>
                <w:lang w:bidi="ar-SA"/>
              </w:rPr>
              <w:t>高希霸</w:t>
            </w:r>
            <w:r>
              <w:rPr>
                <w:rFonts w:asciiTheme="minorEastAsia" w:eastAsiaTheme="minorEastAsia" w:hAnsiTheme="minorEastAsia" w:cstheme="minorEastAsia" w:hint="eastAsia"/>
                <w:color w:val="000000"/>
                <w:sz w:val="24"/>
                <w:szCs w:val="24"/>
                <w:u w:val="none"/>
                <w:lang w:eastAsia="zh-CN" w:bidi="ar-SA"/>
              </w:rPr>
              <w:t>、</w:t>
            </w:r>
            <w:r>
              <w:rPr>
                <w:rFonts w:asciiTheme="minorEastAsia" w:eastAsiaTheme="minorEastAsia" w:hAnsiTheme="minorEastAsia" w:cstheme="minorEastAsia" w:hint="eastAsia"/>
                <w:color w:val="000000"/>
                <w:kern w:val="2"/>
                <w:sz w:val="24"/>
                <w:szCs w:val="24"/>
                <w:u w:val="none"/>
                <w:lang w:val="en-US" w:eastAsia="zh-CN" w:bidi="ar-SA"/>
              </w:rPr>
              <w:t>特立尼达、阿塔迪斯、帕德隆、蒙特克里斯托、好友·德·蒙特雷、帕特加斯</w:t>
            </w:r>
            <w:r>
              <w:rPr>
                <w:rFonts w:asciiTheme="minorEastAsia" w:eastAsiaTheme="minorEastAsia" w:hAnsiTheme="minorEastAsia" w:cstheme="minorEastAsia" w:hint="eastAsia"/>
                <w:i w:val="0"/>
                <w:strike w:val="0"/>
                <w:color w:val="000000"/>
                <w:kern w:val="2"/>
                <w:sz w:val="24"/>
                <w:szCs w:val="24"/>
                <w:u w:val="none"/>
                <w:lang w:val="en-US" w:eastAsia="zh-CN" w:bidi="ar-SA"/>
              </w:rPr>
              <w:t>，每一款得1分，最高得3分。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（2）具有一款高端（稀缺）雪茄品牌（品牌同上）的年销售额不低于10万元的业绩得1分，最高得2分。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注：以上2项需提供烟草公司开具的增值税发票作为证明。</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2.企业2024年1月1日至今累计营业收入（3分）：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（1）低于100万得1分；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（2）100万（含）～200万得2分；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（3）200万（含）以上得3分；</w:t>
            </w:r>
          </w:p>
          <w:p>
            <w:pPr>
              <w:pStyle w:val="NormalWeb"/>
              <w:widowControl/>
              <w:ind w:firstLine="0"/>
              <w:rPr>
                <w:rFonts w:asciiTheme="minorEastAsia" w:eastAsiaTheme="minorEastAsia" w:hAnsiTheme="minorEastAsia" w:cstheme="minorEastAsia" w:hint="eastAsia"/>
                <w:b w:val="0"/>
                <w:bCs w:val="0"/>
                <w:i w:val="0"/>
                <w:strike w:val="0"/>
                <w:color w:val="000000"/>
                <w:kern w:val="2"/>
                <w:sz w:val="24"/>
                <w:szCs w:val="24"/>
                <w:u w:val="none"/>
                <w:lang w:val="en-US" w:eastAsia="zh-CN" w:bidi="ar-SA"/>
              </w:rPr>
            </w:pPr>
            <w:r>
              <w:rPr>
                <w:rFonts w:asciiTheme="minorEastAsia" w:eastAsiaTheme="minorEastAsia" w:hAnsiTheme="minorEastAsia" w:cstheme="minorEastAsia" w:hint="eastAsia"/>
                <w:b w:val="0"/>
                <w:bCs w:val="0"/>
                <w:i w:val="0"/>
                <w:strike w:val="0"/>
                <w:color w:val="000000"/>
                <w:kern w:val="2"/>
                <w:sz w:val="24"/>
                <w:szCs w:val="24"/>
                <w:u w:val="none"/>
                <w:lang w:val="en-US" w:eastAsia="zh-CN" w:bidi="ar-SA"/>
              </w:rPr>
              <w:t>本项最高3分。</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highlight w:val="none"/>
                <w:u w:val="none"/>
                <w:lang w:val="en-US" w:eastAsia="zh-CN" w:bidi="ar-SA"/>
              </w:rPr>
            </w:pPr>
            <w:r>
              <w:rPr>
                <w:rFonts w:asciiTheme="minorEastAsia" w:eastAsiaTheme="minorEastAsia" w:hAnsiTheme="minorEastAsia" w:cstheme="minorEastAsia" w:hint="eastAsia"/>
                <w:b/>
                <w:bCs/>
                <w:i w:val="0"/>
                <w:strike w:val="0"/>
                <w:color w:val="000000"/>
                <w:kern w:val="2"/>
                <w:sz w:val="24"/>
                <w:szCs w:val="24"/>
                <w:highlight w:val="none"/>
                <w:u w:val="none"/>
                <w:lang w:val="en-US" w:eastAsia="zh-CN" w:bidi="ar-SA"/>
              </w:rPr>
              <w:t>3.同类经营业绩（2分）：</w:t>
            </w:r>
          </w:p>
          <w:p>
            <w:pPr>
              <w:pStyle w:val="NormalWeb"/>
              <w:widowControl/>
              <w:ind w:firstLine="0"/>
              <w:rPr>
                <w:rFonts w:asciiTheme="minorEastAsia" w:eastAsiaTheme="minorEastAsia" w:hAnsiTheme="minorEastAsia" w:cstheme="minorEastAsia" w:hint="default"/>
                <w:b w:val="0"/>
                <w:bCs w:val="0"/>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提供</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2024</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年</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1月1日至今</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在机场、五星级酒店、高端商业综合体或高档私人会所等同类高端场景的雪茄吧或高端零售服务合同，每提供一个有效业绩得1分，最高</w:t>
            </w:r>
            <w:r>
              <w:rPr>
                <w:rFonts w:asciiTheme="minorEastAsia" w:eastAsiaTheme="minorEastAsia" w:hAnsiTheme="minorEastAsia" w:cstheme="minorEastAsia" w:hint="eastAsia"/>
                <w:i w:val="0"/>
                <w:strike w:val="0"/>
                <w:color w:val="000000"/>
                <w:kern w:val="2"/>
                <w:sz w:val="24"/>
                <w:szCs w:val="24"/>
                <w:highlight w:val="none"/>
                <w:u w:val="none"/>
                <w:lang w:val="en-US" w:eastAsia="zh-CN" w:bidi="ar-SA"/>
              </w:rPr>
              <w:t>2</w:t>
            </w:r>
            <w:r>
              <w:rPr>
                <w:rFonts w:asciiTheme="minorEastAsia" w:eastAsiaTheme="minorEastAsia" w:hAnsiTheme="minorEastAsia" w:cstheme="minorEastAsia" w:hint="default"/>
                <w:i w:val="0"/>
                <w:strike w:val="0"/>
                <w:color w:val="000000"/>
                <w:kern w:val="2"/>
                <w:sz w:val="24"/>
                <w:szCs w:val="24"/>
                <w:highlight w:val="none"/>
                <w:u w:val="none"/>
                <w:lang w:val="en-US" w:eastAsia="zh-CN" w:bidi="ar-SA"/>
              </w:rPr>
              <w:t>分。（须提供合同关键页及发票复印件证明）</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2792"/>
          <w:jc w:val="center"/>
        </w:trPr>
        <w:tc>
          <w:tcPr>
            <w:tcW w:w="871" w:type="dxa"/>
            <w:vMerge/>
            <w:tcBorders>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Theme="minorEastAsia" w:eastAsiaTheme="minorEastAsia" w:hAnsiTheme="minorEastAsia" w:cstheme="minorEastAsia" w:hint="eastAsia"/>
                <w:sz w:val="24"/>
                <w:szCs w:val="24"/>
              </w:rPr>
            </w:pPr>
          </w:p>
        </w:tc>
        <w:tc>
          <w:tcPr>
            <w:tcW w:w="1236"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Theme="minorEastAsia" w:eastAsiaTheme="minorEastAsia" w:hAnsiTheme="minorEastAsia" w:cstheme="minorEastAsia" w:hint="eastAsia"/>
                <w:sz w:val="24"/>
                <w:szCs w:val="24"/>
              </w:rPr>
            </w:pP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专业团队资质（5分）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default"/>
                <w:b/>
                <w:bCs/>
                <w:i w:val="0"/>
                <w:strike w:val="0"/>
                <w:color w:val="000000"/>
                <w:kern w:val="2"/>
                <w:sz w:val="24"/>
                <w:szCs w:val="24"/>
                <w:u w:val="none"/>
                <w:lang w:val="en-US" w:eastAsia="zh-CN" w:bidi="ar-SA"/>
              </w:rPr>
            </w:pPr>
            <w:r>
              <w:rPr>
                <w:rFonts w:asciiTheme="minorEastAsia" w:eastAsiaTheme="minorEastAsia" w:hAnsiTheme="minorEastAsia" w:cstheme="minorEastAsia" w:hint="default"/>
                <w:b/>
                <w:bCs/>
                <w:i w:val="0"/>
                <w:strike w:val="0"/>
                <w:color w:val="000000"/>
                <w:kern w:val="2"/>
                <w:sz w:val="24"/>
                <w:szCs w:val="24"/>
                <w:u w:val="none"/>
                <w:lang w:val="en-US" w:eastAsia="zh-CN" w:bidi="ar-SA"/>
              </w:rPr>
              <w:t>1.企业资质（</w:t>
            </w:r>
            <w:r>
              <w:rPr>
                <w:rFonts w:asciiTheme="minorEastAsia" w:eastAsiaTheme="minorEastAsia" w:hAnsiTheme="minorEastAsia" w:cstheme="minorEastAsia" w:hint="eastAsia"/>
                <w:b/>
                <w:bCs/>
                <w:i w:val="0"/>
                <w:strike w:val="0"/>
                <w:color w:val="000000"/>
                <w:kern w:val="2"/>
                <w:sz w:val="24"/>
                <w:szCs w:val="24"/>
                <w:u w:val="none"/>
                <w:lang w:val="en-US" w:eastAsia="zh-CN" w:bidi="ar-SA"/>
              </w:rPr>
              <w:t>2</w:t>
            </w:r>
            <w:r>
              <w:rPr>
                <w:rFonts w:asciiTheme="minorEastAsia" w:eastAsiaTheme="minorEastAsia" w:hAnsiTheme="minorEastAsia" w:cstheme="minorEastAsia" w:hint="default"/>
                <w:b/>
                <w:bCs/>
                <w:i w:val="0"/>
                <w:strike w:val="0"/>
                <w:color w:val="000000"/>
                <w:kern w:val="2"/>
                <w:sz w:val="24"/>
                <w:szCs w:val="24"/>
                <w:u w:val="none"/>
                <w:lang w:val="en-US" w:eastAsia="zh-CN" w:bidi="ar-SA"/>
              </w:rPr>
              <w:t>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响应人每具有一个烟草类注册商标即得1分，最高</w:t>
            </w:r>
            <w:r>
              <w:rPr>
                <w:rFonts w:asciiTheme="minorEastAsia" w:eastAsiaTheme="minorEastAsia" w:hAnsiTheme="minorEastAsia" w:cstheme="minorEastAsia" w:hint="eastAsia"/>
                <w:i w:val="0"/>
                <w:strike w:val="0"/>
                <w:color w:val="000000"/>
                <w:kern w:val="2"/>
                <w:sz w:val="24"/>
                <w:szCs w:val="24"/>
                <w:u w:val="none"/>
                <w:lang w:val="en-US" w:eastAsia="zh-CN" w:bidi="ar-SA"/>
              </w:rPr>
              <w:t>2</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2.</w:t>
            </w:r>
            <w:r>
              <w:rPr>
                <w:rFonts w:asciiTheme="minorEastAsia" w:eastAsiaTheme="minorEastAsia" w:hAnsiTheme="minorEastAsia" w:cstheme="minorEastAsia" w:hint="default"/>
                <w:b/>
                <w:bCs/>
                <w:i w:val="0"/>
                <w:strike w:val="0"/>
                <w:color w:val="000000"/>
                <w:kern w:val="2"/>
                <w:sz w:val="24"/>
                <w:szCs w:val="24"/>
                <w:u w:val="none"/>
                <w:lang w:val="en-US" w:eastAsia="zh-CN" w:bidi="ar-SA"/>
              </w:rPr>
              <w:t>团队资质（</w:t>
            </w:r>
            <w:r>
              <w:rPr>
                <w:rFonts w:asciiTheme="minorEastAsia" w:eastAsiaTheme="minorEastAsia" w:hAnsiTheme="minorEastAsia" w:cstheme="minorEastAsia" w:hint="eastAsia"/>
                <w:b/>
                <w:bCs/>
                <w:i w:val="0"/>
                <w:strike w:val="0"/>
                <w:color w:val="000000"/>
                <w:kern w:val="2"/>
                <w:sz w:val="24"/>
                <w:szCs w:val="24"/>
                <w:u w:val="none"/>
                <w:lang w:val="en-US" w:eastAsia="zh-CN" w:bidi="ar-SA"/>
              </w:rPr>
              <w:t>3</w:t>
            </w:r>
            <w:r>
              <w:rPr>
                <w:rFonts w:asciiTheme="minorEastAsia" w:eastAsiaTheme="minorEastAsia" w:hAnsiTheme="minorEastAsia" w:cstheme="minorEastAsia" w:hint="default"/>
                <w:b/>
                <w:bCs/>
                <w:i w:val="0"/>
                <w:strike w:val="0"/>
                <w:color w:val="000000"/>
                <w:kern w:val="2"/>
                <w:sz w:val="24"/>
                <w:szCs w:val="24"/>
                <w:u w:val="none"/>
                <w:lang w:val="en-US" w:eastAsia="zh-CN" w:bidi="ar-SA"/>
              </w:rPr>
              <w:t>分）</w:t>
            </w:r>
            <w:r>
              <w:rPr>
                <w:rFonts w:asciiTheme="minorEastAsia" w:eastAsiaTheme="minorEastAsia" w:hAnsiTheme="minorEastAsia" w:cstheme="minorEastAsia" w:hint="default"/>
                <w:i w:val="0"/>
                <w:strike w:val="0"/>
                <w:color w:val="000000"/>
                <w:kern w:val="2"/>
                <w:sz w:val="24"/>
                <w:szCs w:val="24"/>
                <w:u w:val="none"/>
                <w:lang w:val="en-US" w:eastAsia="zh-CN" w:bidi="ar-SA"/>
              </w:rPr>
              <w:t>：驻场该项目的团队中，成员具有持有中国烟草协会颁发的“中国侍茄师能力认证证书”的侍茄师，</w:t>
            </w:r>
            <w:r>
              <w:rPr>
                <w:rFonts w:asciiTheme="minorEastAsia" w:eastAsiaTheme="minorEastAsia" w:hAnsiTheme="minorEastAsia" w:cstheme="minorEastAsia" w:hint="eastAsia"/>
                <w:i w:val="0"/>
                <w:strike w:val="0"/>
                <w:color w:val="000000"/>
                <w:kern w:val="2"/>
                <w:sz w:val="24"/>
                <w:szCs w:val="24"/>
                <w:u w:val="none"/>
                <w:lang w:val="en-US" w:eastAsia="zh-CN" w:bidi="ar-SA"/>
              </w:rPr>
              <w:t>认证等级为</w:t>
            </w:r>
            <w:r>
              <w:rPr>
                <w:rFonts w:asciiTheme="minorEastAsia" w:eastAsiaTheme="minorEastAsia" w:hAnsiTheme="minorEastAsia" w:cstheme="minorEastAsia" w:hint="default"/>
                <w:i w:val="0"/>
                <w:strike w:val="0"/>
                <w:color w:val="000000"/>
                <w:kern w:val="2"/>
                <w:sz w:val="24"/>
                <w:szCs w:val="24"/>
                <w:u w:val="none"/>
                <w:lang w:val="en-US" w:eastAsia="zh-CN" w:bidi="ar-SA"/>
              </w:rPr>
              <w:t>初级每</w:t>
            </w:r>
            <w:r>
              <w:rPr>
                <w:rFonts w:asciiTheme="minorEastAsia" w:eastAsiaTheme="minorEastAsia" w:hAnsiTheme="minorEastAsia" w:cstheme="minorEastAsia" w:hint="eastAsia"/>
                <w:i w:val="0"/>
                <w:strike w:val="0"/>
                <w:color w:val="000000"/>
                <w:kern w:val="2"/>
                <w:sz w:val="24"/>
                <w:szCs w:val="24"/>
                <w:u w:val="none"/>
                <w:lang w:val="en-US" w:eastAsia="zh-CN" w:bidi="ar-SA"/>
              </w:rPr>
              <w:t>一</w:t>
            </w:r>
            <w:r>
              <w:rPr>
                <w:rFonts w:asciiTheme="minorEastAsia" w:eastAsiaTheme="minorEastAsia" w:hAnsiTheme="minorEastAsia" w:cstheme="minorEastAsia" w:hint="default"/>
                <w:i w:val="0"/>
                <w:strike w:val="0"/>
                <w:color w:val="000000"/>
                <w:kern w:val="2"/>
                <w:sz w:val="24"/>
                <w:szCs w:val="24"/>
                <w:u w:val="none"/>
                <w:lang w:val="en-US" w:eastAsia="zh-CN" w:bidi="ar-SA"/>
              </w:rPr>
              <w:t>位得</w:t>
            </w:r>
            <w:r>
              <w:rPr>
                <w:rFonts w:asciiTheme="minorEastAsia" w:eastAsiaTheme="minorEastAsia" w:hAnsiTheme="minorEastAsia" w:cstheme="minorEastAsia" w:hint="eastAsia"/>
                <w:i w:val="0"/>
                <w:strike w:val="0"/>
                <w:color w:val="000000"/>
                <w:kern w:val="2"/>
                <w:sz w:val="24"/>
                <w:szCs w:val="24"/>
                <w:u w:val="none"/>
                <w:lang w:val="en-US" w:eastAsia="zh-CN" w:bidi="ar-SA"/>
              </w:rPr>
              <w:t>1</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r>
              <w:rPr>
                <w:rFonts w:asciiTheme="minorEastAsia" w:eastAsiaTheme="minorEastAsia" w:hAnsiTheme="minorEastAsia" w:cstheme="minorEastAsia" w:hint="eastAsia"/>
                <w:i w:val="0"/>
                <w:strike w:val="0"/>
                <w:color w:val="000000"/>
                <w:kern w:val="2"/>
                <w:sz w:val="24"/>
                <w:szCs w:val="24"/>
                <w:u w:val="none"/>
                <w:lang w:val="en-US" w:eastAsia="zh-CN" w:bidi="ar-SA"/>
              </w:rPr>
              <w:t>为</w:t>
            </w:r>
            <w:r>
              <w:rPr>
                <w:rFonts w:asciiTheme="minorEastAsia" w:eastAsiaTheme="minorEastAsia" w:hAnsiTheme="minorEastAsia" w:cstheme="minorEastAsia" w:hint="default"/>
                <w:i w:val="0"/>
                <w:strike w:val="0"/>
                <w:color w:val="000000"/>
                <w:kern w:val="2"/>
                <w:sz w:val="24"/>
                <w:szCs w:val="24"/>
                <w:u w:val="none"/>
                <w:lang w:val="en-US" w:eastAsia="zh-CN" w:bidi="ar-SA"/>
              </w:rPr>
              <w:t>中级及以上</w:t>
            </w:r>
            <w:r>
              <w:rPr>
                <w:rFonts w:asciiTheme="minorEastAsia" w:eastAsiaTheme="minorEastAsia" w:hAnsiTheme="minorEastAsia" w:cstheme="minorEastAsia" w:hint="eastAsia"/>
                <w:i w:val="0"/>
                <w:strike w:val="0"/>
                <w:color w:val="000000"/>
                <w:kern w:val="2"/>
                <w:sz w:val="24"/>
                <w:szCs w:val="24"/>
                <w:u w:val="none"/>
                <w:lang w:val="en-US" w:eastAsia="zh-CN" w:bidi="ar-SA"/>
              </w:rPr>
              <w:t>每一位</w:t>
            </w:r>
            <w:r>
              <w:rPr>
                <w:rFonts w:asciiTheme="minorEastAsia" w:eastAsiaTheme="minorEastAsia" w:hAnsiTheme="minorEastAsia" w:cstheme="minorEastAsia" w:hint="default"/>
                <w:i w:val="0"/>
                <w:strike w:val="0"/>
                <w:color w:val="000000"/>
                <w:kern w:val="2"/>
                <w:sz w:val="24"/>
                <w:szCs w:val="24"/>
                <w:u w:val="none"/>
                <w:lang w:val="en-US" w:eastAsia="zh-CN" w:bidi="ar-SA"/>
              </w:rPr>
              <w:t>得</w:t>
            </w:r>
            <w:r>
              <w:rPr>
                <w:rFonts w:asciiTheme="minorEastAsia" w:eastAsiaTheme="minorEastAsia" w:hAnsiTheme="minorEastAsia" w:cstheme="minorEastAsia" w:hint="eastAsia"/>
                <w:i w:val="0"/>
                <w:strike w:val="0"/>
                <w:color w:val="000000"/>
                <w:kern w:val="2"/>
                <w:sz w:val="24"/>
                <w:szCs w:val="24"/>
                <w:u w:val="none"/>
                <w:lang w:val="en-US" w:eastAsia="zh-CN" w:bidi="ar-SA"/>
              </w:rPr>
              <w:t>2</w:t>
            </w:r>
            <w:r>
              <w:rPr>
                <w:rFonts w:asciiTheme="minorEastAsia" w:eastAsiaTheme="minorEastAsia" w:hAnsiTheme="minorEastAsia" w:cstheme="minorEastAsia" w:hint="default"/>
                <w:i w:val="0"/>
                <w:strike w:val="0"/>
                <w:color w:val="000000"/>
                <w:kern w:val="2"/>
                <w:sz w:val="24"/>
                <w:szCs w:val="24"/>
                <w:u w:val="none"/>
                <w:lang w:val="en-US" w:eastAsia="zh-CN" w:bidi="ar-SA"/>
              </w:rPr>
              <w:t>分，最高得</w:t>
            </w:r>
            <w:r>
              <w:rPr>
                <w:rFonts w:asciiTheme="minorEastAsia" w:eastAsiaTheme="minorEastAsia" w:hAnsiTheme="minorEastAsia" w:cstheme="minorEastAsia" w:hint="eastAsia"/>
                <w:i w:val="0"/>
                <w:strike w:val="0"/>
                <w:color w:val="000000"/>
                <w:kern w:val="2"/>
                <w:sz w:val="24"/>
                <w:szCs w:val="24"/>
                <w:u w:val="none"/>
                <w:lang w:val="en-US" w:eastAsia="zh-CN" w:bidi="ar-SA"/>
              </w:rPr>
              <w:t>3</w:t>
            </w:r>
            <w:r>
              <w:rPr>
                <w:rFonts w:asciiTheme="minorEastAsia" w:eastAsiaTheme="minorEastAsia" w:hAnsiTheme="minorEastAsia" w:cstheme="minorEastAsia" w:hint="default"/>
                <w:i w:val="0"/>
                <w:strike w:val="0"/>
                <w:color w:val="000000"/>
                <w:kern w:val="2"/>
                <w:sz w:val="24"/>
                <w:szCs w:val="24"/>
                <w:u w:val="none"/>
                <w:lang w:val="en-US" w:eastAsia="zh-CN" w:bidi="ar-SA"/>
              </w:rPr>
              <w:t>分。</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463"/>
          <w:jc w:val="center"/>
        </w:trPr>
        <w:tc>
          <w:tcPr>
            <w:tcW w:w="871" w:type="dxa"/>
            <w:vMerge/>
            <w:tcBorders>
              <w:left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236" w:type="dxa"/>
            <w:vMerge w:val="restart"/>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运营与服务综合方案（25分）</w:t>
            </w: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keepNext w:val="0"/>
              <w:keepLines w:val="0"/>
              <w:widowControl/>
              <w:suppressLineNumbers w:val="0"/>
              <w:ind w:left="0"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服务方案（15分）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1.服务流程标准（5分）</w:t>
            </w:r>
            <w:r>
              <w:rPr>
                <w:rFonts w:asciiTheme="minorEastAsia" w:eastAsiaTheme="minorEastAsia" w:hAnsiTheme="minorEastAsia" w:cstheme="minorEastAsia" w:hint="eastAsia"/>
                <w:i w:val="0"/>
                <w:strike w:val="0"/>
                <w:color w:val="000000"/>
                <w:kern w:val="2"/>
                <w:sz w:val="24"/>
                <w:szCs w:val="24"/>
                <w:u w:val="none"/>
                <w:lang w:val="en-US" w:eastAsia="zh-CN" w:bidi="ar-SA"/>
              </w:rPr>
              <w:t>：提供从迎宾、问询、推荐、剪切点燃到送别的完整标准化流程，流程清晰、专业、极具体验感，优秀得5～4分，良好得3～2分，一般得1分。</w:t>
            </w:r>
            <w:r>
              <w:rPr>
                <w:rFonts w:asciiTheme="minorEastAsia" w:eastAsiaTheme="minorEastAsia" w:hAnsiTheme="minorEastAsia" w:cstheme="minorEastAsia" w:hint="eastAsia"/>
                <w:i w:val="0"/>
                <w:strike w:val="0"/>
                <w:color w:val="000000"/>
                <w:kern w:val="2"/>
                <w:sz w:val="24"/>
                <w:szCs w:val="24"/>
                <w:u w:val="none"/>
                <w:lang w:val="en-US" w:eastAsia="zh-CN" w:bidi="ar-SA"/>
              </w:rPr>
              <w:br/>
            </w:r>
            <w:r>
              <w:rPr>
                <w:rFonts w:asciiTheme="minorEastAsia" w:eastAsiaTheme="minorEastAsia" w:hAnsiTheme="minorEastAsia" w:cstheme="minorEastAsia" w:hint="eastAsia"/>
                <w:b/>
                <w:bCs/>
                <w:i w:val="0"/>
                <w:strike w:val="0"/>
                <w:color w:val="000000"/>
                <w:kern w:val="2"/>
                <w:sz w:val="24"/>
                <w:szCs w:val="24"/>
                <w:u w:val="none"/>
                <w:lang w:val="en-US" w:eastAsia="zh-CN" w:bidi="ar-SA"/>
              </w:rPr>
              <w:t>2.雪茄文化体验（5分）</w:t>
            </w:r>
            <w:r>
              <w:rPr>
                <w:rFonts w:asciiTheme="minorEastAsia" w:eastAsiaTheme="minorEastAsia" w:hAnsiTheme="minorEastAsia" w:cstheme="minorEastAsia" w:hint="eastAsia"/>
                <w:i w:val="0"/>
                <w:strike w:val="0"/>
                <w:color w:val="000000"/>
                <w:kern w:val="2"/>
                <w:sz w:val="24"/>
                <w:szCs w:val="24"/>
                <w:u w:val="none"/>
                <w:lang w:val="en-US" w:eastAsia="zh-CN" w:bidi="ar-SA"/>
              </w:rPr>
              <w:t>：方案中包含定期品鉴会、文化讲解、与高端酒品搭配等增值服务设计，内容丰富有创意得5～4分，内容较丰富得3～2分，内容单一得1分。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3.空间设计与布局（5分）</w:t>
            </w:r>
            <w:r>
              <w:rPr>
                <w:rFonts w:asciiTheme="minorEastAsia" w:eastAsiaTheme="minorEastAsia" w:hAnsiTheme="minorEastAsia" w:cstheme="minorEastAsia" w:hint="eastAsia"/>
                <w:i w:val="0"/>
                <w:strike w:val="0"/>
                <w:color w:val="000000"/>
                <w:kern w:val="2"/>
                <w:sz w:val="24"/>
                <w:szCs w:val="24"/>
                <w:u w:val="none"/>
                <w:lang w:val="en-US" w:eastAsia="zh-CN" w:bidi="ar-SA"/>
              </w:rPr>
              <w:t>：方案中雪茄吧及精品香烟展示区设计风格契合机场两舱休息室高端定位，合理融入雪茄及烟草文化元素，且符合机场消防、安全等规范，设计精美有创意得5～4分，设计较合理得3～2分，设计普通得1分。</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697"/>
          <w:jc w:val="center"/>
        </w:trPr>
        <w:tc>
          <w:tcPr>
            <w:tcW w:w="871"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236" w:type="dxa"/>
            <w:vMerge/>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snapToGrid/>
              <w:spacing w:before="0" w:after="0" w:line="360" w:lineRule="auto"/>
              <w:ind w:left="0" w:right="0" w:firstLine="48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p>
        </w:tc>
        <w:tc>
          <w:tcPr>
            <w:tcW w:w="1598"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keepNext w:val="0"/>
              <w:keepLines w:val="0"/>
              <w:widowControl/>
              <w:suppressLineNumbers w:val="0"/>
              <w:ind w:left="0" w:right="0" w:firstLine="0"/>
              <w:jc w:val="both"/>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现场营销与运营管理（10分）</w:t>
            </w:r>
          </w:p>
        </w:tc>
        <w:tc>
          <w:tcPr>
            <w:tcW w:w="5662"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1.驻场该项目团队结构与培训（3分）</w:t>
            </w:r>
            <w:r>
              <w:rPr>
                <w:rFonts w:asciiTheme="minorEastAsia" w:eastAsiaTheme="minorEastAsia" w:hAnsiTheme="minorEastAsia" w:cstheme="minorEastAsia" w:hint="eastAsia"/>
                <w:i w:val="0"/>
                <w:strike w:val="0"/>
                <w:color w:val="000000"/>
                <w:kern w:val="2"/>
                <w:sz w:val="24"/>
                <w:szCs w:val="24"/>
                <w:u w:val="none"/>
                <w:lang w:val="en-US" w:eastAsia="zh-CN" w:bidi="ar-SA"/>
              </w:rPr>
              <w:t>：团队结构（侍茄师、销售等）完整，并有系统的年度培训计划，方案完善得3分，较完善得2分，不完善得1分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2.客诉与应急处理（3分）</w:t>
            </w:r>
            <w:r>
              <w:rPr>
                <w:rFonts w:asciiTheme="minorEastAsia" w:eastAsiaTheme="minorEastAsia" w:hAnsiTheme="minorEastAsia" w:cstheme="minorEastAsia" w:hint="eastAsia"/>
                <w:i w:val="0"/>
                <w:strike w:val="0"/>
                <w:color w:val="000000"/>
                <w:kern w:val="2"/>
                <w:sz w:val="24"/>
                <w:szCs w:val="24"/>
                <w:u w:val="none"/>
                <w:lang w:val="en-US" w:eastAsia="zh-CN" w:bidi="ar-SA"/>
              </w:rPr>
              <w:t>：客诉响应时间目标明确（如15分钟内），处理流程清晰，应急预案（如设备故障、消防安全）周全，方案优秀得3分，良好得2分，一般得1分。</w:t>
            </w:r>
            <w:r>
              <w:rPr>
                <w:rFonts w:asciiTheme="minorEastAsia" w:eastAsiaTheme="minorEastAsia" w:hAnsiTheme="minorEastAsia" w:cstheme="minorEastAsia" w:hint="eastAsia"/>
                <w:i w:val="0"/>
                <w:strike w:val="0"/>
                <w:color w:val="000000"/>
                <w:kern w:val="2"/>
                <w:sz w:val="24"/>
                <w:szCs w:val="24"/>
                <w:u w:val="none"/>
                <w:lang w:val="en-US" w:eastAsia="zh-CN" w:bidi="ar-SA"/>
              </w:rPr>
              <w:br/>
            </w:r>
            <w:r>
              <w:rPr>
                <w:rFonts w:asciiTheme="minorEastAsia" w:eastAsiaTheme="minorEastAsia" w:hAnsiTheme="minorEastAsia" w:cstheme="minorEastAsia" w:hint="eastAsia"/>
                <w:b/>
                <w:bCs/>
                <w:i w:val="0"/>
                <w:strike w:val="0"/>
                <w:color w:val="000000"/>
                <w:kern w:val="2"/>
                <w:sz w:val="24"/>
                <w:szCs w:val="24"/>
                <w:u w:val="none"/>
                <w:lang w:val="en-US" w:eastAsia="zh-CN" w:bidi="ar-SA"/>
              </w:rPr>
              <w:t>3.营销与会员运营（3分）</w:t>
            </w:r>
            <w:r>
              <w:rPr>
                <w:rFonts w:asciiTheme="minorEastAsia" w:eastAsiaTheme="minorEastAsia" w:hAnsiTheme="minorEastAsia" w:cstheme="minorEastAsia" w:hint="eastAsia"/>
                <w:i w:val="0"/>
                <w:strike w:val="0"/>
                <w:color w:val="000000"/>
                <w:kern w:val="2"/>
                <w:sz w:val="24"/>
                <w:szCs w:val="24"/>
                <w:u w:val="none"/>
                <w:lang w:val="en-US" w:eastAsia="zh-CN" w:bidi="ar-SA"/>
              </w:rPr>
              <w:t>：有针对高端客群的个性化营销和会员维系方案，方案有创新性、可行性强得3分，可行性一般得2分，方案不完整得1分。</w:t>
            </w:r>
          </w:p>
          <w:p>
            <w:pPr>
              <w:pStyle w:val="NormalWeb"/>
              <w:keepNext w:val="0"/>
              <w:keepLines w:val="0"/>
              <w:widowControl/>
              <w:suppressLineNumbers w:val="0"/>
              <w:spacing w:beforeAutospacing="0" w:afterAutospacing="0"/>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4.服务质量证明（1分）</w:t>
            </w:r>
            <w:r>
              <w:rPr>
                <w:rFonts w:asciiTheme="minorEastAsia" w:eastAsiaTheme="minorEastAsia" w:hAnsiTheme="minorEastAsia" w:cstheme="minorEastAsia" w:hint="eastAsia"/>
                <w:i w:val="0"/>
                <w:strike w:val="0"/>
                <w:color w:val="000000"/>
                <w:kern w:val="2"/>
                <w:sz w:val="24"/>
                <w:szCs w:val="24"/>
                <w:u w:val="none"/>
                <w:lang w:val="en-US" w:eastAsia="zh-CN" w:bidi="ar-SA"/>
              </w:rPr>
              <w:t>：提供由过往合作方（千万级机场、五星级酒店、高端商业综合体或高档私人会所等同类高端场景管理方）出具的服务优良或零投诉证明，即得1分，最高1分。（证明需加盖公章并含联系人）</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220"/>
          <w:jc w:val="center"/>
        </w:trPr>
        <w:tc>
          <w:tcPr>
            <w:tcW w:w="871" w:type="dxa"/>
            <w:vMerge w:val="restart"/>
            <w:tcBorders>
              <w:top w:val="single" w:sz="6" w:space="0" w:color="000000"/>
              <w:left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商务评分（60分）</w:t>
            </w:r>
          </w:p>
        </w:tc>
        <w:tc>
          <w:tcPr>
            <w:tcW w:w="1236"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年冠名费报价（40分）</w:t>
            </w:r>
          </w:p>
        </w:tc>
        <w:tc>
          <w:tcPr>
            <w:tcW w:w="7260" w:type="dxa"/>
            <w:gridSpan w:val="2"/>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ind w:firstLine="0"/>
              <w:rPr>
                <w:rFonts w:ascii="Calibri" w:eastAsia="宋体" w:hAnsi="Calibri" w:cs="Times New Roman" w:hint="default"/>
                <w:i w:val="0"/>
                <w:strike w:val="0"/>
                <w:kern w:val="2"/>
                <w:sz w:val="24"/>
                <w:szCs w:val="24"/>
                <w:u w:val="none"/>
                <w:lang w:val="en-US" w:eastAsia="zh-CN" w:bidi="ar-SA"/>
              </w:rPr>
            </w:pPr>
            <w:r>
              <w:rPr>
                <w:rFonts w:asciiTheme="minorEastAsia" w:eastAsiaTheme="minorEastAsia" w:hAnsiTheme="minorEastAsia" w:cstheme="minorEastAsia" w:hint="default"/>
                <w:i w:val="0"/>
                <w:strike w:val="0"/>
                <w:color w:val="000000"/>
                <w:kern w:val="2"/>
                <w:sz w:val="24"/>
                <w:szCs w:val="24"/>
                <w:u w:val="none"/>
                <w:lang w:val="en-US" w:eastAsia="zh-CN" w:bidi="ar-SA"/>
              </w:rPr>
              <w:t>项目固定金额底价为100</w:t>
            </w:r>
            <w:r>
              <w:rPr>
                <w:rFonts w:asciiTheme="minorEastAsia" w:eastAsiaTheme="minorEastAsia" w:hAnsiTheme="minorEastAsia" w:cstheme="minorEastAsia" w:hint="eastAsia"/>
                <w:i w:val="0"/>
                <w:strike w:val="0"/>
                <w:color w:val="000000"/>
                <w:kern w:val="2"/>
                <w:sz w:val="24"/>
                <w:szCs w:val="24"/>
                <w:u w:val="none"/>
                <w:lang w:val="en-US" w:eastAsia="zh-CN" w:bidi="ar-SA"/>
              </w:rPr>
              <w:t>万元</w:t>
            </w:r>
            <w:r>
              <w:rPr>
                <w:rFonts w:asciiTheme="minorEastAsia" w:eastAsiaTheme="minorEastAsia" w:hAnsiTheme="minorEastAsia" w:cstheme="minorEastAsia" w:hint="default"/>
                <w:i w:val="0"/>
                <w:strike w:val="0"/>
                <w:color w:val="000000"/>
                <w:kern w:val="2"/>
                <w:sz w:val="24"/>
                <w:szCs w:val="24"/>
                <w:u w:val="none"/>
                <w:lang w:val="en-US" w:eastAsia="zh-CN" w:bidi="ar-SA"/>
              </w:rPr>
              <w:t>/年，通过初步评审的有效项目金额，计算出平均值（四舍五入保留一位小数），在该平均值以内的，以最高报价为基准价，报价等于基准价即得满分</w:t>
            </w:r>
            <w:r>
              <w:rPr>
                <w:rFonts w:asciiTheme="minorEastAsia" w:eastAsiaTheme="minorEastAsia" w:hAnsiTheme="minorEastAsia" w:cstheme="minorEastAsia" w:hint="eastAsia"/>
                <w:i w:val="0"/>
                <w:strike w:val="0"/>
                <w:color w:val="000000"/>
                <w:kern w:val="2"/>
                <w:sz w:val="24"/>
                <w:szCs w:val="24"/>
                <w:u w:val="none"/>
                <w:lang w:val="en-US" w:eastAsia="zh-CN" w:bidi="ar-SA"/>
              </w:rPr>
              <w:t>40</w:t>
            </w:r>
            <w:r>
              <w:rPr>
                <w:rFonts w:asciiTheme="minorEastAsia" w:eastAsiaTheme="minorEastAsia" w:hAnsiTheme="minorEastAsia" w:cstheme="minorEastAsia" w:hint="default"/>
                <w:i w:val="0"/>
                <w:strike w:val="0"/>
                <w:color w:val="000000"/>
                <w:kern w:val="2"/>
                <w:sz w:val="24"/>
                <w:szCs w:val="24"/>
                <w:u w:val="none"/>
                <w:lang w:val="en-US" w:eastAsia="zh-CN" w:bidi="ar-SA"/>
              </w:rPr>
              <w:t>分。报名方报价每低于基准价一个百分点扣1分，扣完项目为止。报名方报价超过该平均值的，报价每超过该平均值一个百分点扣0.5分，扣完项目分为止。</w:t>
            </w:r>
          </w:p>
        </w:tc>
      </w:tr>
      <w:tr>
        <w:tblPrEx>
          <w:tblW w:w="9367" w:type="dxa"/>
          <w:jc w:val="center"/>
          <w:tblBorders>
            <w:top w:val="nil"/>
            <w:left w:val="nil"/>
            <w:bottom w:val="nil"/>
            <w:right w:val="nil"/>
            <w:insideH w:val="nil"/>
            <w:insideV w:val="nil"/>
          </w:tblBorders>
          <w:tblLayout w:type="fixed"/>
          <w:tblCellMar>
            <w:top w:w="15" w:type="dxa"/>
            <w:left w:w="15" w:type="dxa"/>
            <w:bottom w:w="15" w:type="dxa"/>
            <w:right w:w="15" w:type="dxa"/>
          </w:tblCellMar>
        </w:tblPrEx>
        <w:trPr>
          <w:trHeight w:val="1400"/>
          <w:jc w:val="center"/>
        </w:trPr>
        <w:tc>
          <w:tcPr>
            <w:tcW w:w="871" w:type="dxa"/>
            <w:vMerge/>
            <w:tcBorders>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asciiTheme="minorEastAsia" w:eastAsiaTheme="minorEastAsia" w:hAnsiTheme="minorEastAsia" w:cstheme="minorEastAsia" w:hint="eastAsia"/>
                <w:sz w:val="24"/>
                <w:szCs w:val="24"/>
              </w:rPr>
            </w:pPr>
          </w:p>
        </w:tc>
        <w:tc>
          <w:tcPr>
            <w:tcW w:w="1236" w:type="dxa"/>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i w:val="0"/>
                <w:strike w:val="0"/>
                <w:color w:val="000000"/>
                <w:kern w:val="2"/>
                <w:sz w:val="24"/>
                <w:szCs w:val="24"/>
                <w:u w:val="none"/>
                <w:lang w:val="en-US" w:eastAsia="zh-CN" w:bidi="ar-SA"/>
              </w:rPr>
              <w:t>年销售额分成报价（20分）</w:t>
            </w:r>
          </w:p>
        </w:tc>
        <w:tc>
          <w:tcPr>
            <w:tcW w:w="7260" w:type="dxa"/>
            <w:gridSpan w:val="2"/>
            <w:tcBorders>
              <w:top w:val="single" w:sz="6" w:space="0" w:color="000000"/>
              <w:left w:val="single" w:sz="6" w:space="0" w:color="000000"/>
              <w:bottom w:val="single" w:sz="6" w:space="0" w:color="000000"/>
              <w:right w:val="single" w:sz="6" w:space="0" w:color="000000"/>
            </w:tcBorders>
            <w:tcMar>
              <w:top w:w="0" w:type="dxa"/>
              <w:left w:w="86" w:type="dxa"/>
              <w:bottom w:w="0" w:type="dxa"/>
              <w:right w:w="86" w:type="dxa"/>
            </w:tcMar>
            <w:vAlign w:val="center"/>
          </w:tcPr>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1.基准分（4分）：</w:t>
            </w:r>
          </w:p>
          <w:p>
            <w:pPr>
              <w:pStyle w:val="NormalWeb"/>
              <w:widowControl/>
              <w:ind w:firstLine="0"/>
              <w:rPr>
                <w:rFonts w:asciiTheme="minorEastAsia" w:eastAsiaTheme="minorEastAsia" w:hAnsiTheme="minorEastAsia" w:cstheme="minorEastAsia" w:hint="eastAsia"/>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响应人报出的各阶梯提成比例均不低于表中规定的基准比例（第一阶梯≥2%、第二阶梯≥3%、第三阶梯≥4%、第四阶梯≥5%），即可获得基准分4分。​</w:t>
            </w:r>
          </w:p>
          <w:p>
            <w:pPr>
              <w:pStyle w:val="NormalWeb"/>
              <w:widowControl/>
              <w:ind w:firstLine="0"/>
              <w:rPr>
                <w:rFonts w:asciiTheme="minorEastAsia" w:eastAsiaTheme="minorEastAsia" w:hAnsiTheme="minorEastAsia" w:cstheme="minorEastAsia" w:hint="eastAsia"/>
                <w:b/>
                <w:bCs/>
                <w:i w:val="0"/>
                <w:strike w:val="0"/>
                <w:color w:val="000000"/>
                <w:kern w:val="2"/>
                <w:sz w:val="24"/>
                <w:szCs w:val="24"/>
                <w:u w:val="none"/>
                <w:lang w:val="en-US" w:eastAsia="zh-CN" w:bidi="ar-SA"/>
              </w:rPr>
            </w:pPr>
            <w:r>
              <w:rPr>
                <w:rFonts w:asciiTheme="minorEastAsia" w:eastAsiaTheme="minorEastAsia" w:hAnsiTheme="minorEastAsia" w:cstheme="minorEastAsia" w:hint="eastAsia"/>
                <w:b/>
                <w:bCs/>
                <w:i w:val="0"/>
                <w:strike w:val="0"/>
                <w:color w:val="000000"/>
                <w:kern w:val="2"/>
                <w:sz w:val="24"/>
                <w:szCs w:val="24"/>
                <w:u w:val="none"/>
                <w:lang w:val="en-US" w:eastAsia="zh-CN" w:bidi="ar-SA"/>
              </w:rPr>
              <w:t>2.加分项（最高加16分）：</w:t>
            </w:r>
          </w:p>
          <w:p>
            <w:pPr>
              <w:pStyle w:val="NormalWeb"/>
              <w:widowControl/>
              <w:ind w:firstLine="0"/>
              <w:rPr>
                <w:rFonts w:asciiTheme="minorEastAsia" w:eastAsiaTheme="minorEastAsia" w:hAnsiTheme="minorEastAsia" w:cstheme="minorEastAsia" w:hint="default"/>
                <w:i w:val="0"/>
                <w:strike w:val="0"/>
                <w:color w:val="000000"/>
                <w:kern w:val="2"/>
                <w:sz w:val="24"/>
                <w:szCs w:val="24"/>
                <w:u w:val="none"/>
                <w:lang w:val="en-US" w:eastAsia="zh-CN" w:bidi="ar-SA"/>
              </w:rPr>
            </w:pPr>
            <w:r>
              <w:rPr>
                <w:rFonts w:asciiTheme="minorEastAsia" w:eastAsiaTheme="minorEastAsia" w:hAnsiTheme="minorEastAsia" w:cstheme="minorEastAsia" w:hint="eastAsia"/>
                <w:i w:val="0"/>
                <w:strike w:val="0"/>
                <w:color w:val="000000"/>
                <w:kern w:val="2"/>
                <w:sz w:val="24"/>
                <w:szCs w:val="24"/>
                <w:u w:val="none"/>
                <w:lang w:val="en-US" w:eastAsia="zh-CN" w:bidi="ar-SA"/>
              </w:rPr>
              <w:t>在满足基准比例的基础上，响应人报出的任一阶梯提成比例每高于对应基准比例1个百分点，可加2分，不足1个百分点，不加分。四个阶梯中，每个阶梯最多加4分</w:t>
            </w:r>
            <w:r>
              <w:rPr>
                <w:rFonts w:asciiTheme="minorEastAsia" w:eastAsiaTheme="minorEastAsia" w:hAnsiTheme="minorEastAsia" w:cstheme="minorEastAsia" w:hint="eastAsia"/>
                <w:color w:val="000000"/>
                <w:u w:val="none"/>
              </w:rPr>
              <w:t>（即最多计算2个百分点）</w:t>
            </w:r>
            <w:r>
              <w:rPr>
                <w:rFonts w:asciiTheme="minorEastAsia" w:eastAsiaTheme="minorEastAsia" w:hAnsiTheme="minorEastAsia" w:cstheme="minorEastAsia" w:hint="eastAsia"/>
                <w:i w:val="0"/>
                <w:strike w:val="0"/>
                <w:color w:val="000000"/>
                <w:kern w:val="2"/>
                <w:sz w:val="24"/>
                <w:szCs w:val="24"/>
                <w:u w:val="none"/>
                <w:lang w:val="en-US" w:eastAsia="zh-CN" w:bidi="ar-SA"/>
              </w:rPr>
              <w:t>，累计最高加16分。</w:t>
            </w:r>
          </w:p>
        </w:tc>
      </w:tr>
    </w:tbl>
    <w:p>
      <w:pPr>
        <w:ind w:left="0" w:firstLine="640"/>
        <w:jc w:val="both"/>
        <w:rPr>
          <w:rFonts w:ascii="方正小标宋简体" w:eastAsia="方正小标宋简体" w:hAnsi="方正小标宋简体" w:cs="方正小标宋简体" w:hint="eastAsia"/>
        </w:rPr>
        <w:sectPr>
          <w:pgSz w:w="11906" w:h="16838"/>
          <w:pgMar w:top="2098" w:right="1474" w:bottom="1984" w:left="1587" w:header="851" w:footer="992" w:gutter="0"/>
          <w:pgNumType w:fmt="numberInDash"/>
          <w:cols w:num="1" w:space="0"/>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700" w:lineRule="exact"/>
        <w:ind w:left="0" w:right="0" w:firstLine="0"/>
        <w:jc w:val="both"/>
        <w:textAlignment w:val="auto"/>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附件6：协议模板</w:t>
      </w:r>
    </w:p>
    <w:p>
      <w:pPr>
        <w:keepNext w:val="0"/>
        <w:keepLines w:val="0"/>
        <w:pageBreakBefore w:val="0"/>
        <w:widowControl w:val="0"/>
        <w:kinsoku/>
        <w:wordWrap/>
        <w:overflowPunct/>
        <w:topLinePunct w:val="0"/>
        <w:autoSpaceDE/>
        <w:autoSpaceDN/>
        <w:bidi w:val="0"/>
        <w:adjustRightInd/>
        <w:snapToGrid/>
        <w:spacing w:line="700" w:lineRule="exact"/>
        <w:ind w:left="0" w:right="0" w:firstLine="560"/>
        <w:jc w:val="both"/>
        <w:textAlignment w:val="auto"/>
        <w:rPr>
          <w:rFonts w:ascii="黑体" w:eastAsia="黑体" w:hAnsi="黑体" w:cs="黑体"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lang w:val="en-US" w:eastAsia="zh-CN"/>
        </w:rPr>
        <w:t>成都双流国际机场T2两舱休息室“自在·茄境”雪茄吧项目</w:t>
      </w:r>
      <w:r>
        <w:rPr>
          <w:rFonts w:ascii="方正小标宋简体" w:eastAsia="方正小标宋简体" w:hAnsi="方正小标宋简体" w:cs="方正小标宋简体" w:hint="eastAsia"/>
          <w:sz w:val="28"/>
          <w:szCs w:val="28"/>
        </w:rPr>
        <w:t>协议</w:t>
      </w:r>
    </w:p>
    <w:p>
      <w:pPr>
        <w:keepNext w:val="0"/>
        <w:keepLines w:val="0"/>
        <w:pageBreakBefore w:val="0"/>
        <w:widowControl w:val="0"/>
        <w:kinsoku/>
        <w:wordWrap/>
        <w:overflowPunct/>
        <w:topLinePunct w:val="0"/>
        <w:autoSpaceDE/>
        <w:autoSpaceDN/>
        <w:bidi w:val="0"/>
        <w:adjustRightInd/>
        <w:snapToGrid/>
        <w:spacing w:line="700" w:lineRule="exact"/>
        <w:ind w:left="0" w:right="0" w:firstLine="640"/>
        <w:jc w:val="center"/>
        <w:textAlignment w:val="auto"/>
        <w:rPr>
          <w:rFonts w:ascii="方正小标宋简体" w:eastAsia="方正小标宋简体" w:hAnsi="方正小标宋简体" w:cs="方正小标宋简体"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jc w:val="right"/>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协议编号：GB</w:t>
      </w:r>
      <w:r>
        <w:rPr>
          <w:rFonts w:cs="仿宋_GB2312" w:hint="eastAsia"/>
          <w:sz w:val="28"/>
          <w:szCs w:val="28"/>
          <w:lang w:eastAsia="zh-CN"/>
        </w:rPr>
        <w:t>〔2025〕</w:t>
      </w:r>
      <w:r>
        <w:rPr>
          <w:rFonts w:ascii="仿宋_GB2312" w:eastAsia="仿宋_GB2312" w:hAnsi="仿宋_GB2312" w:cs="仿宋_GB2312" w:hint="eastAsia"/>
          <w:sz w:val="28"/>
          <w:szCs w:val="28"/>
          <w:lang w:val="en-US" w:eastAsia="zh-CN"/>
        </w:rPr>
        <w:t>XX</w:t>
      </w:r>
    </w:p>
    <w:p>
      <w:pPr>
        <w:keepNext w:val="0"/>
        <w:keepLines w:val="0"/>
        <w:pageBreakBefore w:val="0"/>
        <w:widowControl w:val="0"/>
        <w:kinsoku/>
        <w:wordWrap/>
        <w:overflowPunct/>
        <w:topLinePunct w:val="0"/>
        <w:autoSpaceDE/>
        <w:autoSpaceDN/>
        <w:bidi w:val="0"/>
        <w:adjustRightInd/>
        <w:snapToGrid/>
        <w:spacing w:line="560" w:lineRule="exact"/>
        <w:ind w:firstLine="0"/>
        <w:jc w:val="right"/>
        <w:textAlignment w:val="auto"/>
        <w:rPr>
          <w:rFonts w:ascii="仿宋_GB2312" w:eastAsia="仿宋_GB2312" w:hAnsi="仿宋_GB2312" w:cs="仿宋_GB2312"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甲方：成都双流国际机场股份有限公司</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甲乙双方本着平等互利、友好协商、共同发展的原则，甲</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rPr>
        <w:t>乙</w:t>
      </w:r>
      <w:r>
        <w:rPr>
          <w:rFonts w:ascii="仿宋_GB2312" w:eastAsia="仿宋_GB2312" w:hAnsi="仿宋_GB2312" w:cs="仿宋_GB2312" w:hint="eastAsia"/>
          <w:sz w:val="28"/>
          <w:szCs w:val="28"/>
          <w:lang w:val="en-US" w:eastAsia="zh-CN"/>
        </w:rPr>
        <w:t>双方就</w:t>
      </w:r>
      <w:r>
        <w:rPr>
          <w:rFonts w:cs="仿宋_GB2312" w:hint="eastAsia"/>
          <w:sz w:val="28"/>
          <w:szCs w:val="28"/>
          <w:lang w:val="en-US" w:eastAsia="zh-CN"/>
        </w:rPr>
        <w:t>成都双流国际机场T2两舱休息室“自在·茄境”雪茄吧项目</w:t>
      </w:r>
      <w:r>
        <w:rPr>
          <w:rFonts w:ascii="仿宋_GB2312" w:eastAsia="仿宋_GB2312" w:hAnsi="仿宋_GB2312" w:cs="仿宋_GB2312" w:hint="eastAsia"/>
          <w:sz w:val="28"/>
          <w:szCs w:val="28"/>
        </w:rPr>
        <w:t>达成如下协议：</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第一部分 国内</w:t>
      </w:r>
      <w:r>
        <w:rPr>
          <w:rFonts w:ascii="方正小标宋简体" w:eastAsia="方正小标宋简体" w:hAnsi="方正小标宋简体" w:cs="方正小标宋简体" w:hint="eastAsia"/>
          <w:sz w:val="28"/>
          <w:szCs w:val="28"/>
          <w:lang w:eastAsia="zh-CN"/>
        </w:rPr>
        <w:t>两舱</w:t>
      </w:r>
      <w:r>
        <w:rPr>
          <w:rFonts w:ascii="方正小标宋简体" w:eastAsia="方正小标宋简体" w:hAnsi="方正小标宋简体" w:cs="方正小标宋简体" w:hint="eastAsia"/>
          <w:sz w:val="28"/>
          <w:szCs w:val="28"/>
        </w:rPr>
        <w:t>休息室服务项目</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jc w:val="center"/>
        <w:textAlignment w:val="auto"/>
        <w:rPr>
          <w:rFonts w:ascii="方正小标宋简体" w:eastAsia="方正小标宋简体" w:hAnsi="方正小标宋简体" w:cs="方正小标宋简体"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default"/>
          <w:sz w:val="28"/>
          <w:szCs w:val="28"/>
          <w:lang w:val="en-US" w:eastAsia="zh-CN"/>
        </w:rPr>
      </w:pPr>
      <w:r>
        <w:rPr>
          <w:rFonts w:ascii="黑体" w:eastAsia="黑体" w:hAnsi="黑体" w:cs="黑体" w:hint="eastAsia"/>
          <w:sz w:val="28"/>
          <w:szCs w:val="28"/>
        </w:rPr>
        <w:t>一、</w:t>
      </w:r>
      <w:r>
        <w:rPr>
          <w:rFonts w:ascii="黑体" w:eastAsia="黑体" w:hAnsi="黑体" w:cs="黑体" w:hint="eastAsia"/>
          <w:sz w:val="28"/>
          <w:szCs w:val="28"/>
          <w:lang w:val="en-US" w:eastAsia="zh-CN"/>
        </w:rPr>
        <w:t>项目内容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甲方提供位于T2航站楼DE安检上夹层处的国内</w:t>
      </w:r>
      <w:r>
        <w:rPr>
          <w:rFonts w:cs="仿宋_GB2312" w:hint="eastAsia"/>
          <w:sz w:val="28"/>
          <w:szCs w:val="28"/>
          <w:lang w:eastAsia="zh-CN"/>
        </w:rPr>
        <w:t>两舱</w:t>
      </w:r>
      <w:r>
        <w:rPr>
          <w:rFonts w:ascii="仿宋_GB2312" w:eastAsia="仿宋_GB2312" w:hAnsi="仿宋_GB2312" w:cs="仿宋_GB2312" w:hint="eastAsia"/>
          <w:sz w:val="28"/>
          <w:szCs w:val="28"/>
        </w:rPr>
        <w:t>休息室，供乙方客户休息与候机，协议约定使用面积为</w:t>
      </w:r>
      <w:r>
        <w:rPr>
          <w:rFonts w:ascii="仿宋_GB2312" w:eastAsia="仿宋_GB2312" w:hAnsi="仿宋_GB2312" w:cs="仿宋_GB2312" w:hint="eastAsia"/>
          <w:sz w:val="28"/>
          <w:szCs w:val="28"/>
          <w:lang w:val="en-US" w:eastAsia="zh-CN"/>
        </w:rPr>
        <w:t>51</w:t>
      </w:r>
      <w:r>
        <w:rPr>
          <w:rFonts w:ascii="仿宋_GB2312" w:eastAsia="仿宋_GB2312" w:hAnsi="仿宋_GB2312" w:cs="仿宋_GB2312" w:hint="eastAsia"/>
          <w:sz w:val="28"/>
          <w:szCs w:val="28"/>
        </w:rPr>
        <w:t>平方米。允许乙方对休息室指定区域命名及摆放乙方宣传品。该休息室未包含在本协议约定使用面积内的剩余部分，甲方有权向其他单位提供。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二、服务对象、项目内容及标准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rPr>
        <w:t>1.服务对象：经验证确认的乙方客户（即持有乙方有效服务凭证的客户）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不包含明星等公众人物。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2.服务项目内容及标准：见附件</w:t>
      </w:r>
      <w:r>
        <w:rPr>
          <w:rFonts w:cs="仿宋_GB2312" w:hint="eastAsia"/>
          <w:sz w:val="28"/>
          <w:szCs w:val="28"/>
          <w:lang w:val="en-US" w:eastAsia="zh-CN"/>
        </w:rPr>
        <w:t>6-1</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三、甲方的权利、义务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楷体" w:eastAsia="楷体" w:hAnsi="楷体" w:cs="楷体" w:hint="eastAsia"/>
          <w:sz w:val="28"/>
          <w:szCs w:val="28"/>
        </w:rPr>
      </w:pPr>
      <w:r>
        <w:rPr>
          <w:rFonts w:ascii="楷体" w:eastAsia="楷体" w:hAnsi="楷体" w:cs="楷体" w:hint="eastAsia"/>
          <w:sz w:val="28"/>
          <w:szCs w:val="28"/>
        </w:rPr>
        <w:t>（一）甲方的权利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1.按照本协议的收费标准和结算方式收取服务费。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2.遇有重大政治活动和突发事件，甲方有权临时调整或中止服务提供。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3.甲方有权对乙方提供的客户进行确认，若有不符，甲方有权拒绝提供服务。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楷体" w:eastAsia="楷体" w:hAnsi="楷体" w:cs="楷体" w:hint="eastAsia"/>
          <w:sz w:val="28"/>
          <w:szCs w:val="28"/>
        </w:rPr>
      </w:pPr>
      <w:r>
        <w:rPr>
          <w:rFonts w:ascii="楷体" w:eastAsia="楷体" w:hAnsi="楷体" w:cs="楷体" w:hint="eastAsia"/>
          <w:sz w:val="28"/>
          <w:szCs w:val="28"/>
        </w:rPr>
        <w:t>（二）甲方的义务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甲方按本协议约定的国内</w:t>
      </w:r>
      <w:r>
        <w:rPr>
          <w:rFonts w:cs="仿宋_GB2312" w:hint="eastAsia"/>
          <w:sz w:val="28"/>
          <w:szCs w:val="28"/>
          <w:lang w:eastAsia="zh-CN"/>
        </w:rPr>
        <w:t>两舱</w:t>
      </w:r>
      <w:r>
        <w:rPr>
          <w:rFonts w:ascii="仿宋_GB2312" w:eastAsia="仿宋_GB2312" w:hAnsi="仿宋_GB2312" w:cs="仿宋_GB2312" w:hint="eastAsia"/>
          <w:sz w:val="28"/>
          <w:szCs w:val="28"/>
        </w:rPr>
        <w:t>休息室服务内容和标准为乙方客户提供服务。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黑体" w:eastAsia="黑体" w:hAnsi="黑体" w:cs="黑体" w:hint="eastAsia"/>
          <w:sz w:val="28"/>
          <w:szCs w:val="28"/>
        </w:rPr>
        <w:t>四、乙方的权利、义务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楷体" w:eastAsia="楷体" w:hAnsi="楷体" w:cs="楷体" w:hint="eastAsia"/>
          <w:sz w:val="28"/>
          <w:szCs w:val="28"/>
        </w:rPr>
      </w:pPr>
      <w:r>
        <w:rPr>
          <w:rFonts w:ascii="楷体" w:eastAsia="楷体" w:hAnsi="楷体" w:cs="楷体" w:hint="eastAsia"/>
          <w:sz w:val="28"/>
          <w:szCs w:val="28"/>
        </w:rPr>
        <w:t>（一）乙方的权利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rPr>
        <w:t>乙方客户有权享受甲方按本协议约定的国内</w:t>
      </w:r>
      <w:r>
        <w:rPr>
          <w:rFonts w:cs="仿宋_GB2312" w:hint="eastAsia"/>
          <w:sz w:val="28"/>
          <w:szCs w:val="28"/>
          <w:lang w:eastAsia="zh-CN"/>
        </w:rPr>
        <w:t>两舱</w:t>
      </w:r>
      <w:r>
        <w:rPr>
          <w:rFonts w:ascii="仿宋_GB2312" w:eastAsia="仿宋_GB2312" w:hAnsi="仿宋_GB2312" w:cs="仿宋_GB2312" w:hint="eastAsia"/>
          <w:sz w:val="28"/>
          <w:szCs w:val="28"/>
        </w:rPr>
        <w:t>休息室服务标准提供的服务</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楷体" w:eastAsia="楷体" w:hAnsi="楷体" w:cs="楷体" w:hint="eastAsia"/>
          <w:sz w:val="28"/>
          <w:szCs w:val="28"/>
        </w:rPr>
      </w:pPr>
      <w:r>
        <w:rPr>
          <w:rFonts w:ascii="楷体" w:eastAsia="楷体" w:hAnsi="楷体" w:cs="楷体" w:hint="eastAsia"/>
          <w:sz w:val="28"/>
          <w:szCs w:val="28"/>
        </w:rPr>
        <w:t>（二）乙方的义务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1.按照本协议的约定按时付费、结算。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2.乙方客户接待时间为航班起飞前2小时内。如乙方客户提前到达</w:t>
      </w:r>
      <w:r>
        <w:rPr>
          <w:rFonts w:cs="仿宋_GB2312" w:hint="eastAsia"/>
          <w:sz w:val="28"/>
          <w:szCs w:val="28"/>
          <w:lang w:eastAsia="zh-CN"/>
        </w:rPr>
        <w:t>两舱</w:t>
      </w:r>
      <w:r>
        <w:rPr>
          <w:rFonts w:ascii="仿宋_GB2312" w:eastAsia="仿宋_GB2312" w:hAnsi="仿宋_GB2312" w:cs="仿宋_GB2312" w:hint="eastAsia"/>
          <w:sz w:val="28"/>
          <w:szCs w:val="28"/>
        </w:rPr>
        <w:t>休息室需要提供服务的，每超出2小时视为使用一次服务，计入服务人次。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highlight w:val="none"/>
        </w:rPr>
        <w:t>如乙方客户乘坐的航班已由航空公司进行统一安排，甲方将不再提供服务，甲方有权拒绝已经由航空公司进行统一安排航班的乙方客户滞留在国内</w:t>
      </w:r>
      <w:r>
        <w:rPr>
          <w:rFonts w:cs="仿宋_GB2312" w:hint="eastAsia"/>
          <w:sz w:val="28"/>
          <w:szCs w:val="28"/>
          <w:highlight w:val="none"/>
          <w:lang w:eastAsia="zh-CN"/>
        </w:rPr>
        <w:t>两舱</w:t>
      </w:r>
      <w:r>
        <w:rPr>
          <w:rFonts w:ascii="仿宋_GB2312" w:eastAsia="仿宋_GB2312" w:hAnsi="仿宋_GB2312" w:cs="仿宋_GB2312" w:hint="eastAsia"/>
          <w:sz w:val="28"/>
          <w:szCs w:val="28"/>
          <w:highlight w:val="none"/>
        </w:rPr>
        <w:t>休息室休息，甲方应当向乙方客户做好解释工作。</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4.因航班不正常导致甲方为乙方客户重新提供休息室服务的（如返航等），乙方客户须重新进行验证，甲方将对该次服务重新计入相应服务人次。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5.享受服务的乙方客户须为经验证确认的持</w:t>
      </w:r>
      <w:r>
        <w:rPr>
          <w:rFonts w:ascii="仿宋_GB2312" w:eastAsia="仿宋_GB2312" w:hAnsi="仿宋_GB2312" w:cs="仿宋_GB2312" w:hint="eastAsia"/>
          <w:sz w:val="28"/>
          <w:szCs w:val="28"/>
          <w:lang w:val="en-US" w:eastAsia="zh-CN"/>
        </w:rPr>
        <w:t>有权益</w:t>
      </w:r>
      <w:r>
        <w:rPr>
          <w:rFonts w:ascii="仿宋_GB2312" w:eastAsia="仿宋_GB2312" w:hAnsi="仿宋_GB2312" w:cs="仿宋_GB2312" w:hint="eastAsia"/>
          <w:sz w:val="28"/>
          <w:szCs w:val="28"/>
        </w:rPr>
        <w:t>本人。随行人员须与持</w:t>
      </w:r>
      <w:r>
        <w:rPr>
          <w:rFonts w:ascii="仿宋_GB2312" w:eastAsia="仿宋_GB2312" w:hAnsi="仿宋_GB2312" w:cs="仿宋_GB2312" w:hint="eastAsia"/>
          <w:sz w:val="28"/>
          <w:szCs w:val="28"/>
          <w:lang w:val="en-US" w:eastAsia="zh-CN"/>
        </w:rPr>
        <w:t>有权益</w:t>
      </w:r>
      <w:r>
        <w:rPr>
          <w:rFonts w:ascii="仿宋_GB2312" w:eastAsia="仿宋_GB2312" w:hAnsi="仿宋_GB2312" w:cs="仿宋_GB2312" w:hint="eastAsia"/>
          <w:sz w:val="28"/>
          <w:szCs w:val="28"/>
        </w:rPr>
        <w:t>本人乘坐同一航班。如随行为6周岁以下的儿童则免费享受服务（每次最多不超过2名），不计入服务人次；6周岁以上的儿童（含6岁），视为随行人员计入服务人次。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6.若乙方以任何形式预约接待名人、明星等公众人物，则按以下标准执行：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（1）乙方须至少提前三个工作日书面通知甲方并进行预约报备，并按照甲方届时有效的收费标准，在服务提供前至少一个工作日内全额支付相关费用</w:t>
      </w:r>
      <w:r>
        <w:rPr>
          <w:rFonts w:cs="仿宋_GB2312"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（2）若乙方未按本条约定进行提前报备和/或支付费用，甲方有权拒绝提供当次服务，且无需承担任何责任。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lang w:val="en-US" w:eastAsia="zh-CN"/>
        </w:rPr>
        <w:t>（3）若乙方未支付费用，但甲方经评估后仍提供了服务的，甲方有权按本标准收取服务费用，即按贵宾VIP区人民币6</w:t>
      </w:r>
      <w:r>
        <w:rPr>
          <w:rFonts w:cs="仿宋_GB2312" w:hint="eastAsia"/>
          <w:sz w:val="28"/>
          <w:szCs w:val="28"/>
          <w:lang w:val="en-US" w:eastAsia="zh-CN"/>
        </w:rPr>
        <w:t>5</w:t>
      </w:r>
      <w:r>
        <w:rPr>
          <w:rFonts w:ascii="仿宋_GB2312" w:eastAsia="仿宋_GB2312" w:hAnsi="仿宋_GB2312" w:cs="仿宋_GB2312" w:hint="eastAsia"/>
          <w:sz w:val="28"/>
          <w:szCs w:val="28"/>
          <w:lang w:val="en-US" w:eastAsia="zh-CN"/>
        </w:rPr>
        <w:t>0元/人、两舱人民币300元/人标准折算为服务人次，并计入本协议服务人次进行结算。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7</w:t>
      </w:r>
      <w:r>
        <w:rPr>
          <w:rFonts w:ascii="仿宋_GB2312" w:eastAsia="仿宋_GB2312" w:hAnsi="仿宋_GB2312" w:cs="仿宋_GB2312" w:hint="eastAsia"/>
          <w:sz w:val="28"/>
          <w:szCs w:val="28"/>
        </w:rPr>
        <w:t>.乙方客户使用</w:t>
      </w:r>
      <w:r>
        <w:rPr>
          <w:rFonts w:cs="仿宋_GB2312" w:hint="eastAsia"/>
          <w:sz w:val="28"/>
          <w:szCs w:val="28"/>
          <w:lang w:eastAsia="zh-CN"/>
        </w:rPr>
        <w:t>两舱</w:t>
      </w:r>
      <w:r>
        <w:rPr>
          <w:rFonts w:ascii="仿宋_GB2312" w:eastAsia="仿宋_GB2312" w:hAnsi="仿宋_GB2312" w:cs="仿宋_GB2312" w:hint="eastAsia"/>
          <w:sz w:val="28"/>
          <w:szCs w:val="28"/>
        </w:rPr>
        <w:t>休息室服务时，乘坐T1国内航班的乙方客户在甲方T1航站楼国内</w:t>
      </w:r>
      <w:r>
        <w:rPr>
          <w:rFonts w:cs="仿宋_GB2312" w:hint="eastAsia"/>
          <w:sz w:val="28"/>
          <w:szCs w:val="28"/>
          <w:lang w:eastAsia="zh-CN"/>
        </w:rPr>
        <w:t>两舱</w:t>
      </w:r>
      <w:r>
        <w:rPr>
          <w:rFonts w:ascii="仿宋_GB2312" w:eastAsia="仿宋_GB2312" w:hAnsi="仿宋_GB2312" w:cs="仿宋_GB2312" w:hint="eastAsia"/>
          <w:sz w:val="28"/>
          <w:szCs w:val="28"/>
        </w:rPr>
        <w:t>休息室验证休息，乘坐T2国内航班的乙方客户在甲方T2航站楼</w:t>
      </w:r>
      <w:r>
        <w:rPr>
          <w:rFonts w:cs="仿宋_GB2312" w:hint="eastAsia"/>
          <w:sz w:val="28"/>
          <w:szCs w:val="28"/>
          <w:lang w:eastAsia="zh-CN"/>
        </w:rPr>
        <w:t>两舱</w:t>
      </w:r>
      <w:r>
        <w:rPr>
          <w:rFonts w:ascii="仿宋_GB2312" w:eastAsia="仿宋_GB2312" w:hAnsi="仿宋_GB2312" w:cs="仿宋_GB2312" w:hint="eastAsia"/>
          <w:sz w:val="28"/>
          <w:szCs w:val="28"/>
        </w:rPr>
        <w:t>休息室验证休息。</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8</w:t>
      </w:r>
      <w:r>
        <w:rPr>
          <w:rFonts w:ascii="仿宋_GB2312" w:eastAsia="仿宋_GB2312" w:hAnsi="仿宋_GB2312" w:cs="仿宋_GB2312" w:hint="eastAsia"/>
          <w:sz w:val="28"/>
          <w:szCs w:val="28"/>
        </w:rPr>
        <w:t>.当</w:t>
      </w:r>
      <w:r>
        <w:rPr>
          <w:rFonts w:cs="仿宋_GB2312" w:hint="eastAsia"/>
          <w:sz w:val="28"/>
          <w:szCs w:val="28"/>
          <w:lang w:eastAsia="zh-CN"/>
        </w:rPr>
        <w:t>两舱</w:t>
      </w:r>
      <w:r>
        <w:rPr>
          <w:rFonts w:ascii="仿宋_GB2312" w:eastAsia="仿宋_GB2312" w:hAnsi="仿宋_GB2312" w:cs="仿宋_GB2312" w:hint="eastAsia"/>
          <w:sz w:val="28"/>
          <w:szCs w:val="28"/>
        </w:rPr>
        <w:t>休息室进行装修或使用量饱和时，甲方应视当日航班情况为乙方客户合理调整</w:t>
      </w:r>
      <w:r>
        <w:rPr>
          <w:rFonts w:cs="仿宋_GB2312" w:hint="eastAsia"/>
          <w:sz w:val="28"/>
          <w:szCs w:val="28"/>
          <w:lang w:eastAsia="zh-CN"/>
        </w:rPr>
        <w:t>两舱</w:t>
      </w:r>
      <w:r>
        <w:rPr>
          <w:rFonts w:ascii="仿宋_GB2312" w:eastAsia="仿宋_GB2312" w:hAnsi="仿宋_GB2312" w:cs="仿宋_GB2312" w:hint="eastAsia"/>
          <w:sz w:val="28"/>
          <w:szCs w:val="28"/>
        </w:rPr>
        <w:t>休息室休息区域，如甲方使用量饱和无法接待（同一时段预约人数超出休息室接待量），应在乙方客户到达休息室时告知。</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9</w:t>
      </w:r>
      <w:r>
        <w:rPr>
          <w:rFonts w:ascii="仿宋_GB2312" w:eastAsia="仿宋_GB2312" w:hAnsi="仿宋_GB2312" w:cs="仿宋_GB2312" w:hint="eastAsia"/>
          <w:sz w:val="28"/>
          <w:szCs w:val="28"/>
        </w:rPr>
        <w:t>.如乙方验证设备出现故障，乙方应立即派人维修。在验证设备恢复正常使用之前，由甲方协助乙方客户进行手工登记，在手工交易单上抄录并拓印客户所持卡卡号或手机号，并请乙方客户签字确认。</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五、违约责任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乙方采买甲方的</w:t>
      </w:r>
      <w:r>
        <w:rPr>
          <w:rFonts w:cs="仿宋_GB2312" w:hint="eastAsia"/>
          <w:sz w:val="28"/>
          <w:szCs w:val="28"/>
          <w:lang w:eastAsia="zh-CN"/>
        </w:rPr>
        <w:t>两舱</w:t>
      </w:r>
      <w:r>
        <w:rPr>
          <w:rFonts w:ascii="仿宋_GB2312" w:eastAsia="仿宋_GB2312" w:hAnsi="仿宋_GB2312" w:cs="仿宋_GB2312" w:hint="eastAsia"/>
          <w:sz w:val="28"/>
          <w:szCs w:val="28"/>
        </w:rPr>
        <w:t>休息室服务仅限乙方自有会员使用，禁止乙方以转售、转租、转借、授权等方式，将该服务由乙方自有会员以外的第三方实际使用。若乙方违反此约定，甲方有权解除合同。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六、收费标准及税率</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依照双方协商，乙方将获得甲方赠送的贵宾VIP区XX人次/年、两舱XX人次/年，合计XX人次/年，赠送人次有效期一年，未使用部分不顺延。乙方实际使用人次超过赠送人次，超出部分按照贵宾VIP区</w:t>
      </w:r>
      <w:r>
        <w:rPr>
          <w:rFonts w:ascii="仿宋_GB2312" w:eastAsia="仿宋_GB2312" w:hAnsi="仿宋_GB2312" w:cs="仿宋_GB2312" w:hint="eastAsia"/>
          <w:sz w:val="28"/>
          <w:szCs w:val="28"/>
          <w:highlight w:val="none"/>
          <w:lang w:val="en-US" w:eastAsia="zh-CN"/>
        </w:rPr>
        <w:t>人民币6</w:t>
      </w:r>
      <w:r>
        <w:rPr>
          <w:rFonts w:cs="仿宋_GB2312" w:hint="eastAsia"/>
          <w:sz w:val="28"/>
          <w:szCs w:val="28"/>
          <w:highlight w:val="none"/>
          <w:lang w:val="en-US" w:eastAsia="zh-CN"/>
        </w:rPr>
        <w:t>5</w:t>
      </w:r>
      <w:r>
        <w:rPr>
          <w:rFonts w:ascii="仿宋_GB2312" w:eastAsia="仿宋_GB2312" w:hAnsi="仿宋_GB2312" w:cs="仿宋_GB2312" w:hint="eastAsia"/>
          <w:sz w:val="28"/>
          <w:szCs w:val="28"/>
          <w:highlight w:val="none"/>
          <w:lang w:val="en-US" w:eastAsia="zh-CN"/>
        </w:rPr>
        <w:t>0元/</w:t>
      </w:r>
      <w:r>
        <w:rPr>
          <w:rFonts w:ascii="仿宋_GB2312" w:eastAsia="仿宋_GB2312" w:hAnsi="仿宋_GB2312" w:cs="仿宋_GB2312" w:hint="eastAsia"/>
          <w:sz w:val="28"/>
          <w:szCs w:val="28"/>
          <w:lang w:val="en-US" w:eastAsia="zh-CN"/>
        </w:rPr>
        <w:t>人次（大写陆佰元整）、两舱人民币300元/人次（大写叁佰元整）</w:t>
      </w:r>
      <w:r>
        <w:rPr>
          <w:rFonts w:ascii="仿宋_GB2312" w:eastAsia="仿宋_GB2312" w:hAnsi="仿宋_GB2312" w:cs="仿宋_GB2312" w:hint="eastAsia"/>
          <w:sz w:val="28"/>
          <w:szCs w:val="28"/>
        </w:rPr>
        <w:t>标准计算超员费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rPr>
        <w:t>超员费自超员之日起，按月结方式结算。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以上费用均为含税价，税率6%。在合同履行期间，如遇国家税率调整，则以含税价不变，税费随国家政策调整而调整。</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七、结算方式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eastAsia"/>
          <w:sz w:val="28"/>
          <w:szCs w:val="28"/>
        </w:rPr>
        <w:t>.服务人次核算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甲乙双方应于次月10日前（遇法定节假日则顺延）完成上月实际服务人次的核对，核对结果以双方书面确认（包括但不限于邮件、盖章确认单等可追溯形式）为准。若乙方对核对结果有异议，须在收到核对结果后的3个工作日内以书面形式（需注明异议具体内容及依据）向甲方提出；逾期未提出的，视为乙方认可该核对结果，作为双方结算依据。</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（2）双方确认，本合同（或协议）项下1年内乙方</w:t>
      </w:r>
      <w:r>
        <w:rPr>
          <w:rFonts w:ascii="仿宋_GB2312" w:eastAsia="仿宋_GB2312" w:hAnsi="仿宋_GB2312" w:cs="仿宋_GB2312" w:hint="eastAsia"/>
          <w:sz w:val="28"/>
          <w:szCs w:val="28"/>
          <w:lang w:val="en-US" w:eastAsia="zh-CN"/>
        </w:rPr>
        <w:t>获得甲方赠送</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lang w:val="en-US" w:eastAsia="zh-CN"/>
        </w:rPr>
        <w:t>贵宾VIP区XX人次、两舱XX人次</w:t>
      </w:r>
      <w:r>
        <w:rPr>
          <w:rFonts w:ascii="仿宋_GB2312" w:eastAsia="仿宋_GB2312" w:hAnsi="仿宋_GB2312" w:cs="仿宋_GB2312" w:hint="eastAsia"/>
          <w:sz w:val="28"/>
          <w:szCs w:val="28"/>
        </w:rPr>
        <w:t>服务使用完毕后，若发生服务人次超员的，甲乙双方应先按第一部分第七条第</w:t>
      </w: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eastAsia"/>
          <w:sz w:val="28"/>
          <w:szCs w:val="28"/>
        </w:rPr>
        <w:t>款第（1）项约定完成超员人次的核对确认。核对无误后，甲方应在5个工作日内向乙方开具对应超员费用的增值税专用发票；乙方应在收到符合要求的发票后10个工作日内，将超员费用足额支付至甲方指定账户。</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2</w:t>
      </w:r>
      <w:r>
        <w:rPr>
          <w:rFonts w:ascii="仿宋_GB2312" w:eastAsia="仿宋_GB2312" w:hAnsi="仿宋_GB2312" w:cs="仿宋_GB2312" w:hint="eastAsia"/>
          <w:sz w:val="28"/>
          <w:szCs w:val="28"/>
        </w:rPr>
        <w:t>.逾期处理：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（1）若乙方未按时支付本条所述费用，甲方有权暂停提供服务，直至乙方付清费用后恢复服务。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（2）若乙方自收到甲方发票之日起超过15个工作日未支付费用（包括但不限于上述第一部分第七条第1款所述所有费用）</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rPr>
        <w:t>视为乙方无履约能力，甲方可单方面终止合同，并保留向乙方索赔的权利。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甲方联系人：</w:t>
      </w:r>
      <w:r>
        <w:rPr>
          <w:rFonts w:ascii="仿宋_GB2312" w:eastAsia="仿宋_GB2312" w:hAnsi="仿宋_GB2312" w:cs="仿宋_GB2312" w:hint="eastAsia"/>
          <w:sz w:val="28"/>
          <w:szCs w:val="28"/>
          <w:lang w:val="en-US" w:eastAsia="zh-CN"/>
        </w:rPr>
        <w:t>吴娱</w:t>
      </w:r>
      <w:r>
        <w:rPr>
          <w:rFonts w:ascii="仿宋_GB2312" w:eastAsia="仿宋_GB2312" w:hAnsi="仿宋_GB2312" w:cs="仿宋_GB2312" w:hint="eastAsia"/>
          <w:sz w:val="28"/>
          <w:szCs w:val="28"/>
        </w:rPr>
        <w:t>，联系电话：028-85206156</w:t>
      </w:r>
    </w:p>
    <w:p>
      <w:pPr>
        <w:keepNext w:val="0"/>
        <w:keepLines w:val="0"/>
        <w:pageBreakBefore w:val="0"/>
        <w:widowControl w:val="0"/>
        <w:kinsoku/>
        <w:wordWrap/>
        <w:overflowPunct/>
        <w:topLinePunct w:val="0"/>
        <w:autoSpaceDE/>
        <w:autoSpaceDN/>
        <w:bidi w:val="0"/>
        <w:adjustRightInd/>
        <w:snapToGrid/>
        <w:spacing w:line="240" w:lineRule="auto"/>
        <w:ind w:left="0" w:right="0" w:firstLine="560"/>
        <w:jc w:val="left"/>
        <w:textAlignment w:val="auto"/>
        <w:rPr>
          <w:rFonts w:cs="仿宋_GB2312" w:hint="eastAsia"/>
          <w:sz w:val="28"/>
          <w:szCs w:val="28"/>
          <w:lang w:val="en-US" w:eastAsia="zh-CN"/>
        </w:rPr>
      </w:pPr>
      <w:r>
        <w:rPr>
          <w:rFonts w:ascii="仿宋_GB2312" w:eastAsia="仿宋_GB2312" w:hAnsi="仿宋_GB2312" w:cs="仿宋_GB2312" w:hint="eastAsia"/>
          <w:sz w:val="28"/>
          <w:szCs w:val="28"/>
        </w:rPr>
        <w:t>乙方联系人：</w:t>
      </w:r>
      <w:r>
        <w:rPr>
          <w:rFonts w:ascii="仿宋_GB2312" w:eastAsia="仿宋_GB2312" w:hAnsi="仿宋_GB2312" w:cs="仿宋_GB2312" w:hint="eastAsia"/>
          <w:sz w:val="28"/>
          <w:szCs w:val="28"/>
          <w:lang w:val="en-US" w:eastAsia="zh-CN"/>
        </w:rPr>
        <w:t xml:space="preserve">     </w:t>
      </w:r>
      <w:r>
        <w:rPr>
          <w:rFonts w:ascii="仿宋_GB2312" w:eastAsia="仿宋_GB2312" w:hAnsi="仿宋_GB2312" w:cs="仿宋_GB2312" w:hint="eastAsia"/>
          <w:sz w:val="28"/>
          <w:szCs w:val="28"/>
        </w:rPr>
        <w:t>，联系电话</w:t>
      </w:r>
      <w:r>
        <w:rPr>
          <w:rFonts w:cs="仿宋_GB2312" w:hint="eastAsia"/>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right="0" w:firstLine="0"/>
        <w:jc w:val="both"/>
        <w:textAlignment w:val="auto"/>
        <w:rPr>
          <w:rFonts w:ascii="方正小标宋简体" w:eastAsia="方正小标宋简体" w:hAnsi="方正小标宋简体" w:cs="方正小标宋简体" w:hint="eastAsia"/>
          <w:sz w:val="28"/>
          <w:szCs w:val="28"/>
        </w:rPr>
      </w:pP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ascii="仿宋_GB2312" w:eastAsia="仿宋_GB2312" w:hAnsi="仿宋_GB2312" w:cstheme="minorBidi" w:hint="default"/>
          <w:sz w:val="32"/>
          <w:szCs w:val="32"/>
          <w:lang w:val="en-US" w:eastAsia="zh-CN"/>
        </w:rPr>
      </w:pPr>
      <w:r>
        <w:rPr>
          <w:rFonts w:ascii="方正小标宋简体" w:eastAsia="方正小标宋简体" w:hAnsi="方正小标宋简体" w:cs="方正小标宋简体" w:hint="eastAsia"/>
          <w:sz w:val="28"/>
          <w:szCs w:val="28"/>
        </w:rPr>
        <w:t xml:space="preserve">第二部分 </w:t>
      </w:r>
      <w:r>
        <w:rPr>
          <w:rFonts w:ascii="方正小标宋简体" w:eastAsia="方正小标宋简体" w:hAnsi="方正小标宋简体" w:cs="方正小标宋简体" w:hint="eastAsia"/>
          <w:sz w:val="28"/>
          <w:szCs w:val="28"/>
          <w:lang w:eastAsia="zh-CN"/>
        </w:rPr>
        <w:t>“</w:t>
      </w:r>
      <w:r>
        <w:rPr>
          <w:rFonts w:ascii="方正小标宋简体" w:eastAsia="方正小标宋简体" w:hAnsi="方正小标宋简体" w:cs="方正小标宋简体" w:hint="eastAsia"/>
          <w:sz w:val="28"/>
          <w:szCs w:val="28"/>
          <w:lang w:val="en-US" w:eastAsia="zh-CN"/>
        </w:rPr>
        <w:t>自在·茄境</w:t>
      </w:r>
      <w:r>
        <w:rPr>
          <w:rFonts w:ascii="方正小标宋简体" w:eastAsia="方正小标宋简体" w:hAnsi="方正小标宋简体" w:cs="方正小标宋简体" w:hint="eastAsia"/>
          <w:sz w:val="28"/>
          <w:szCs w:val="28"/>
          <w:lang w:eastAsia="zh-CN"/>
        </w:rPr>
        <w:t>”</w:t>
      </w:r>
      <w:r>
        <w:rPr>
          <w:rFonts w:ascii="方正小标宋简体" w:eastAsia="方正小标宋简体" w:hAnsi="方正小标宋简体" w:cs="方正小标宋简体" w:hint="eastAsia"/>
          <w:sz w:val="28"/>
          <w:szCs w:val="28"/>
          <w:lang w:val="en-US" w:eastAsia="zh-CN"/>
        </w:rPr>
        <w:t>雪茄吧项目</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default"/>
          <w:sz w:val="28"/>
          <w:szCs w:val="28"/>
          <w:lang w:val="en-US" w:eastAsia="zh-CN"/>
        </w:rPr>
      </w:pPr>
      <w:r>
        <w:rPr>
          <w:rFonts w:ascii="黑体" w:eastAsia="黑体" w:hAnsi="黑体" w:cs="黑体" w:hint="eastAsia"/>
          <w:sz w:val="28"/>
          <w:szCs w:val="28"/>
        </w:rPr>
        <w:t>一、</w:t>
      </w:r>
      <w:r>
        <w:rPr>
          <w:rFonts w:ascii="黑体" w:eastAsia="黑体" w:hAnsi="黑体" w:cs="黑体" w:hint="eastAsia"/>
          <w:sz w:val="28"/>
          <w:szCs w:val="28"/>
          <w:lang w:val="en-US" w:eastAsia="zh-CN"/>
        </w:rPr>
        <w:t>项目区域及使用要求</w:t>
      </w:r>
    </w:p>
    <w:p>
      <w:pPr>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1.乙方将获得甲方T2</w:t>
      </w:r>
      <w:r>
        <w:rPr>
          <w:rFonts w:cs="仿宋_GB2312" w:hint="eastAsia"/>
          <w:sz w:val="28"/>
          <w:szCs w:val="28"/>
          <w:lang w:val="en-US" w:eastAsia="zh-CN"/>
        </w:rPr>
        <w:t>两舱</w:t>
      </w:r>
      <w:r>
        <w:rPr>
          <w:rFonts w:ascii="仿宋_GB2312" w:eastAsia="仿宋_GB2312" w:hAnsi="仿宋_GB2312" w:cs="仿宋_GB2312" w:hint="eastAsia"/>
          <w:sz w:val="28"/>
          <w:szCs w:val="28"/>
          <w:lang w:val="en-US" w:eastAsia="zh-CN"/>
        </w:rPr>
        <w:t>休息室内总计51平方米的冠名区域使用权，其中空侧区域位于休息室茶室（41平方米），用于打造</w:t>
      </w:r>
      <w:r>
        <w:rPr>
          <w:rFonts w:cs="仿宋_GB2312" w:hint="eastAsia"/>
          <w:sz w:val="28"/>
          <w:szCs w:val="28"/>
          <w:lang w:val="en-US" w:eastAsia="zh-CN"/>
        </w:rPr>
        <w:t>“自在·茄境”雪茄吧</w:t>
      </w:r>
      <w:r>
        <w:rPr>
          <w:rFonts w:ascii="仿宋_GB2312" w:eastAsia="仿宋_GB2312" w:hAnsi="仿宋_GB2312" w:cs="仿宋_GB2312" w:hint="eastAsia"/>
          <w:sz w:val="28"/>
          <w:szCs w:val="28"/>
          <w:lang w:val="en-US" w:eastAsia="zh-CN"/>
        </w:rPr>
        <w:t>；陆侧区域位于茶室对面（10平方米），用于精品雪茄（香烟）展示与销售。</w:t>
      </w:r>
    </w:p>
    <w:p>
      <w:pPr>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2.乙方需无偿投资建设一处10平方米的配套专业吸烟室。</w:t>
      </w:r>
    </w:p>
    <w:p>
      <w:pPr>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3.上述雪茄吧与吸烟室建成后，其产权均归贵宾服务中心所有。</w:t>
      </w:r>
      <w:r>
        <w:rPr>
          <w:rFonts w:cs="仿宋_GB2312" w:hint="eastAsia"/>
          <w:sz w:val="28"/>
          <w:szCs w:val="28"/>
          <w:lang w:val="en-US" w:eastAsia="zh-CN"/>
        </w:rPr>
        <w:t>项目</w:t>
      </w:r>
      <w:r>
        <w:rPr>
          <w:rFonts w:ascii="仿宋_GB2312" w:eastAsia="仿宋_GB2312" w:hAnsi="仿宋_GB2312" w:cs="仿宋_GB2312" w:hint="eastAsia"/>
          <w:sz w:val="28"/>
          <w:szCs w:val="28"/>
        </w:rPr>
        <w:t>具体位置见附件</w:t>
      </w:r>
      <w:r>
        <w:rPr>
          <w:rFonts w:cs="仿宋_GB2312" w:hint="eastAsia"/>
          <w:sz w:val="28"/>
          <w:szCs w:val="28"/>
          <w:lang w:val="en-US" w:eastAsia="zh-CN"/>
        </w:rPr>
        <w:t>6-2</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lang w:val="en-US" w:eastAsia="zh-CN"/>
        </w:rPr>
      </w:pPr>
      <w:r>
        <w:rPr>
          <w:rFonts w:ascii="黑体" w:eastAsia="黑体" w:hAnsi="黑体" w:cs="黑体" w:hint="eastAsia"/>
          <w:sz w:val="28"/>
          <w:szCs w:val="28"/>
        </w:rPr>
        <w:t>二、</w:t>
      </w:r>
      <w:r>
        <w:rPr>
          <w:rFonts w:ascii="黑体" w:eastAsia="黑体" w:hAnsi="黑体" w:cs="黑体" w:hint="eastAsia"/>
          <w:sz w:val="28"/>
          <w:szCs w:val="28"/>
          <w:lang w:val="en-US" w:eastAsia="zh-CN"/>
        </w:rPr>
        <w:t>项目费用</w:t>
      </w:r>
      <w:r>
        <w:rPr>
          <w:rFonts w:ascii="黑体" w:eastAsia="黑体" w:hAnsi="黑体" w:cs="黑体" w:hint="eastAsia"/>
          <w:sz w:val="28"/>
          <w:szCs w:val="28"/>
        </w:rPr>
        <w:t>及</w:t>
      </w:r>
      <w:r>
        <w:rPr>
          <w:rFonts w:ascii="黑体" w:eastAsia="黑体" w:hAnsi="黑体" w:cs="黑体" w:hint="eastAsia"/>
          <w:sz w:val="28"/>
          <w:szCs w:val="28"/>
          <w:lang w:val="en-US" w:eastAsia="zh-CN"/>
        </w:rPr>
        <w:t>支付</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en-US" w:eastAsia="zh-CN"/>
        </w:rPr>
        <w:t>冠名费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“自在·茄境”雪茄吧</w:t>
      </w:r>
      <w:r>
        <w:rPr>
          <w:rFonts w:cs="仿宋_GB2312" w:hint="eastAsia"/>
          <w:sz w:val="28"/>
          <w:szCs w:val="28"/>
          <w:lang w:val="en-US" w:eastAsia="zh-CN"/>
        </w:rPr>
        <w:t>项目</w:t>
      </w:r>
      <w:r>
        <w:rPr>
          <w:rFonts w:ascii="仿宋_GB2312" w:eastAsia="仿宋_GB2312" w:hAnsi="仿宋_GB2312" w:cs="仿宋_GB2312" w:hint="eastAsia"/>
          <w:sz w:val="28"/>
          <w:szCs w:val="28"/>
          <w:lang w:val="en-US" w:eastAsia="zh-CN"/>
        </w:rPr>
        <w:t>冠名费单价</w:t>
      </w:r>
      <w:r>
        <w:rPr>
          <w:rFonts w:cs="仿宋_GB2312" w:hint="eastAsia"/>
          <w:sz w:val="28"/>
          <w:szCs w:val="28"/>
          <w:lang w:val="en-US" w:eastAsia="zh-CN"/>
        </w:rPr>
        <w:t>人民币</w:t>
      </w:r>
      <w:r>
        <w:rPr>
          <w:rFonts w:ascii="仿宋_GB2312" w:eastAsia="仿宋_GB2312" w:hAnsi="仿宋_GB2312" w:cs="仿宋_GB2312" w:hint="eastAsia"/>
          <w:sz w:val="28"/>
          <w:szCs w:val="28"/>
          <w:lang w:val="en-US" w:eastAsia="zh-CN"/>
        </w:rPr>
        <w:t>XX元/平方米</w:t>
      </w:r>
      <w:r>
        <w:rPr>
          <w:rFonts w:ascii="仿宋_GB2312" w:eastAsia="仿宋_GB2312" w:hAnsi="仿宋_GB2312" w:cs="仿宋_GB2312" w:hint="eastAsia"/>
          <w:sz w:val="28"/>
          <w:szCs w:val="28"/>
        </w:rPr>
        <w:t>（大写</w:t>
      </w:r>
      <w:r>
        <w:rPr>
          <w:rFonts w:ascii="仿宋_GB2312" w:eastAsia="仿宋_GB2312" w:hAnsi="仿宋_GB2312" w:cs="仿宋_GB2312" w:hint="eastAsia"/>
          <w:sz w:val="28"/>
          <w:szCs w:val="28"/>
          <w:lang w:val="en-US" w:eastAsia="zh-CN"/>
        </w:rPr>
        <w:t>XXX</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en-US" w:eastAsia="zh-CN"/>
        </w:rPr>
        <w:t>冠名区总面积</w:t>
      </w:r>
      <w:r>
        <w:rPr>
          <w:rFonts w:cs="仿宋_GB2312" w:hint="eastAsia"/>
          <w:sz w:val="28"/>
          <w:szCs w:val="28"/>
          <w:lang w:val="en-US" w:eastAsia="zh-CN"/>
        </w:rPr>
        <w:t>51</w:t>
      </w:r>
      <w:r>
        <w:rPr>
          <w:rFonts w:ascii="仿宋_GB2312" w:eastAsia="仿宋_GB2312" w:hAnsi="仿宋_GB2312" w:cs="仿宋_GB2312" w:hint="eastAsia"/>
          <w:sz w:val="28"/>
          <w:szCs w:val="28"/>
          <w:lang w:val="en-US" w:eastAsia="zh-CN"/>
        </w:rPr>
        <w:t>平方米，冠名费共计</w:t>
      </w:r>
      <w:r>
        <w:rPr>
          <w:rFonts w:ascii="仿宋_GB2312" w:eastAsia="仿宋_GB2312" w:hAnsi="仿宋_GB2312" w:cs="仿宋_GB2312" w:hint="eastAsia"/>
          <w:sz w:val="28"/>
          <w:szCs w:val="28"/>
        </w:rPr>
        <w:t>人民币</w:t>
      </w:r>
      <w:r>
        <w:rPr>
          <w:rFonts w:ascii="仿宋_GB2312" w:eastAsia="仿宋_GB2312" w:hAnsi="仿宋_GB2312" w:cs="仿宋_GB2312" w:hint="eastAsia"/>
          <w:sz w:val="28"/>
          <w:szCs w:val="28"/>
          <w:lang w:val="en-US" w:eastAsia="zh-CN"/>
        </w:rPr>
        <w:t>XXX元</w:t>
      </w:r>
      <w:r>
        <w:rPr>
          <w:rFonts w:ascii="仿宋_GB2312" w:eastAsia="仿宋_GB2312" w:hAnsi="仿宋_GB2312" w:cs="仿宋_GB2312" w:hint="eastAsia"/>
          <w:sz w:val="28"/>
          <w:szCs w:val="28"/>
        </w:rPr>
        <w:t>（大写</w:t>
      </w:r>
      <w:r>
        <w:rPr>
          <w:rFonts w:ascii="仿宋_GB2312" w:eastAsia="仿宋_GB2312" w:hAnsi="仿宋_GB2312" w:cs="仿宋_GB2312" w:hint="eastAsia"/>
          <w:sz w:val="28"/>
          <w:szCs w:val="28"/>
          <w:lang w:val="en-US" w:eastAsia="zh-CN"/>
        </w:rPr>
        <w:t>XXX</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以上费用均为含税价，税率</w:t>
      </w:r>
      <w:r>
        <w:rPr>
          <w:rFonts w:ascii="仿宋_GB2312" w:eastAsia="仿宋_GB2312" w:hAnsi="仿宋_GB2312" w:cs="仿宋_GB2312" w:hint="eastAsia"/>
          <w:sz w:val="28"/>
          <w:szCs w:val="28"/>
          <w:lang w:val="en-US" w:eastAsia="zh-CN"/>
        </w:rPr>
        <w:t>6</w:t>
      </w:r>
      <w:r>
        <w:rPr>
          <w:rFonts w:ascii="仿宋_GB2312" w:eastAsia="仿宋_GB2312" w:hAnsi="仿宋_GB2312" w:cs="仿宋_GB2312" w:hint="eastAsia"/>
          <w:sz w:val="28"/>
          <w:szCs w:val="28"/>
        </w:rPr>
        <w:t>%。在合同履行期间，如遇国家税率调整，则以含税价不变，税费随国家政策调整而调整。</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val="en-US" w:eastAsia="zh-CN"/>
        </w:rPr>
        <w:t>支付</w:t>
      </w:r>
      <w:r>
        <w:rPr>
          <w:rFonts w:ascii="仿宋_GB2312" w:eastAsia="仿宋_GB2312" w:hAnsi="仿宋_GB2312" w:cs="仿宋_GB2312" w:hint="eastAsia"/>
          <w:sz w:val="28"/>
          <w:szCs w:val="28"/>
        </w:rPr>
        <w:t>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（1）本协议项下年度冠名费为人民币XX万元（大写XXX），该费用按年支付，每年一期；</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（2）首期冠名费，乙方应于本协议签署生效后前10个工作日支付，后续每期费用应于当年对应日期前支付；</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（3）甲方在收到乙方支付的款项后10个工作日内，向乙方提供等额、合法的增值税专用发票。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三、安全生产管理职责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1.乙方的工作须符合国家相关安全法律法规的要求，乙方应认真贯彻执行国家有关安全生产的方针、政策、</w:t>
      </w:r>
      <w:r>
        <w:rPr>
          <w:rFonts w:cs="仿宋_GB2312" w:hint="eastAsia"/>
          <w:sz w:val="28"/>
          <w:szCs w:val="28"/>
          <w:lang w:eastAsia="zh-CN"/>
        </w:rPr>
        <w:t>法律法规</w:t>
      </w:r>
      <w:r>
        <w:rPr>
          <w:rFonts w:ascii="仿宋_GB2312" w:eastAsia="仿宋_GB2312" w:hAnsi="仿宋_GB2312" w:cs="仿宋_GB2312" w:hint="eastAsia"/>
          <w:sz w:val="28"/>
          <w:szCs w:val="28"/>
        </w:rPr>
        <w:t>和甲方相关安全工作规程、安全管理规定，严格服从甲方的监督、管理、检查和教育。</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乙方应承担生产经营项目、场所的事故隐患排查、治理和防控的安全职责。乙方应对工作过程中的安全因素加以识别，对安全隐患予以防范，有相应的安全措施，不对他人和自身造成任何危害，乙方在工作中对自身造成的人身及财产损害，由乙方自行承担责任，给甲方造成的人身及财产损害，乙方承担全部赔偿责任，给第三方造成的人身及财产损害，由乙方负责处理解决并承担赔偿责任，若甲方承担了赔偿责任的，甲方有权向乙方追偿。</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rPr>
        <w:t>3.乙方应按照规定做好</w:t>
      </w:r>
      <w:r>
        <w:rPr>
          <w:rFonts w:ascii="仿宋_GB2312" w:eastAsia="仿宋_GB2312" w:hAnsi="仿宋_GB2312" w:cs="仿宋_GB2312" w:hint="eastAsia"/>
          <w:sz w:val="28"/>
          <w:szCs w:val="28"/>
          <w:lang w:val="en-US" w:eastAsia="zh-CN"/>
        </w:rPr>
        <w:t>业务区域</w:t>
      </w:r>
      <w:r>
        <w:rPr>
          <w:rFonts w:ascii="仿宋_GB2312" w:eastAsia="仿宋_GB2312" w:hAnsi="仿宋_GB2312" w:cs="仿宋_GB2312" w:hint="eastAsia"/>
          <w:sz w:val="28"/>
          <w:szCs w:val="28"/>
        </w:rPr>
        <w:t>内的消防安全工作。乙方在</w:t>
      </w:r>
      <w:r>
        <w:rPr>
          <w:rFonts w:ascii="仿宋_GB2312" w:eastAsia="仿宋_GB2312" w:hAnsi="仿宋_GB2312" w:cs="仿宋_GB2312" w:hint="eastAsia"/>
          <w:sz w:val="28"/>
          <w:szCs w:val="28"/>
          <w:lang w:val="en-US" w:eastAsia="zh-CN"/>
        </w:rPr>
        <w:t>协议</w:t>
      </w:r>
      <w:r>
        <w:rPr>
          <w:rFonts w:ascii="仿宋_GB2312" w:eastAsia="仿宋_GB2312" w:hAnsi="仿宋_GB2312" w:cs="仿宋_GB2312" w:hint="eastAsia"/>
          <w:sz w:val="28"/>
          <w:szCs w:val="28"/>
        </w:rPr>
        <w:t>期限内严格履行《中华人民共和国消防法》《机关、团体、企业、事业单位消防安全管理规定》《四川省消防条例》等法律法规规定的消防安全主体责任，全面落实消防安全责任制度</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4.甲方应对乙方的安全生产工作统一协调、管理，定期进行安全检查，发现安全问题的，应当及时督促整改。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5.甲方的贵宾服务中心负责乙方</w:t>
      </w:r>
      <w:r>
        <w:rPr>
          <w:rFonts w:ascii="仿宋_GB2312" w:eastAsia="仿宋_GB2312" w:hAnsi="仿宋_GB2312" w:cs="仿宋_GB2312" w:hint="eastAsia"/>
          <w:sz w:val="28"/>
          <w:szCs w:val="28"/>
          <w:lang w:val="en-US" w:eastAsia="zh-CN"/>
        </w:rPr>
        <w:t>在本项目内</w:t>
      </w:r>
      <w:r>
        <w:rPr>
          <w:rFonts w:ascii="仿宋_GB2312" w:eastAsia="仿宋_GB2312" w:hAnsi="仿宋_GB2312" w:cs="仿宋_GB2312" w:hint="eastAsia"/>
          <w:sz w:val="28"/>
          <w:szCs w:val="28"/>
        </w:rPr>
        <w:t>业务的监管工作</w:t>
      </w:r>
      <w:r>
        <w:rPr>
          <w:rFonts w:cs="仿宋_GB2312" w:hint="eastAsia"/>
          <w:sz w:val="28"/>
          <w:szCs w:val="28"/>
          <w:lang w:eastAsia="zh-CN"/>
        </w:rPr>
        <w:t>，以</w:t>
      </w:r>
      <w:r>
        <w:rPr>
          <w:rFonts w:ascii="仿宋_GB2312" w:eastAsia="仿宋_GB2312" w:hAnsi="仿宋_GB2312" w:cs="仿宋_GB2312" w:hint="eastAsia"/>
          <w:sz w:val="28"/>
          <w:szCs w:val="28"/>
        </w:rPr>
        <w:t>及与经营性管理相关的其他问题的监管、整改。其他非经营性管理由甲方相关单位或部门负责管理。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四、甲方权利义务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eastAsia"/>
          <w:sz w:val="28"/>
          <w:szCs w:val="28"/>
        </w:rPr>
        <w:t>甲方保证对所提供的冠名区域拥有完全的、合法的权利，有权将冠名区域按本合同约定提供给乙方使用</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rPr>
        <w:t>2.</w:t>
      </w:r>
      <w:r>
        <w:rPr>
          <w:rFonts w:ascii="仿宋_GB2312" w:eastAsia="仿宋_GB2312" w:hAnsi="仿宋_GB2312" w:cs="仿宋_GB2312" w:hint="eastAsia"/>
          <w:sz w:val="28"/>
          <w:szCs w:val="28"/>
        </w:rPr>
        <w:t>甲方负责合作区域内</w:t>
      </w:r>
      <w:r>
        <w:rPr>
          <w:rFonts w:ascii="仿宋_GB2312" w:eastAsia="仿宋_GB2312" w:hAnsi="仿宋_GB2312" w:cs="仿宋_GB2312" w:hint="eastAsia"/>
          <w:sz w:val="28"/>
          <w:szCs w:val="28"/>
          <w:lang w:val="en-US" w:eastAsia="zh-CN"/>
        </w:rPr>
        <w:t>由甲方提供的</w:t>
      </w:r>
      <w:r>
        <w:rPr>
          <w:rFonts w:ascii="仿宋_GB2312" w:eastAsia="仿宋_GB2312" w:hAnsi="仿宋_GB2312" w:cs="仿宋_GB2312" w:hint="eastAsia"/>
          <w:sz w:val="28"/>
          <w:szCs w:val="28"/>
        </w:rPr>
        <w:t>设施设备的日常维护与维修，确保乙方正常使用</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rPr>
        <w:t>3.</w:t>
      </w:r>
      <w:r>
        <w:rPr>
          <w:rFonts w:ascii="仿宋_GB2312" w:eastAsia="仿宋_GB2312" w:hAnsi="仿宋_GB2312" w:cs="仿宋_GB2312" w:hint="eastAsia"/>
          <w:sz w:val="28"/>
          <w:szCs w:val="28"/>
        </w:rPr>
        <w:t>甲方负责协调乙方工作人员进出机场区域的通行证件办理事宜</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val="en-US" w:eastAsia="zh-CN"/>
        </w:rPr>
        <w:t>4.</w:t>
      </w:r>
      <w:r>
        <w:rPr>
          <w:rFonts w:ascii="仿宋_GB2312" w:eastAsia="仿宋_GB2312" w:hAnsi="仿宋_GB2312" w:cs="仿宋_GB2312" w:hint="eastAsia"/>
          <w:sz w:val="28"/>
          <w:szCs w:val="28"/>
        </w:rPr>
        <w:t>合同有效期内，若甲方要调整或重新装修冠名区域，应提前</w:t>
      </w:r>
      <w:r>
        <w:rPr>
          <w:rFonts w:ascii="仿宋_GB2312" w:eastAsia="仿宋_GB2312" w:hAnsi="仿宋_GB2312" w:cs="仿宋_GB2312" w:hint="eastAsia"/>
          <w:sz w:val="28"/>
          <w:szCs w:val="28"/>
          <w:lang w:val="en-US" w:eastAsia="zh-CN"/>
        </w:rPr>
        <w:t>10个工作</w:t>
      </w:r>
      <w:r>
        <w:rPr>
          <w:rFonts w:ascii="仿宋_GB2312" w:eastAsia="仿宋_GB2312" w:hAnsi="仿宋_GB2312" w:cs="仿宋_GB2312" w:hint="eastAsia"/>
          <w:sz w:val="28"/>
          <w:szCs w:val="28"/>
        </w:rPr>
        <w:t>日书面通知乙方，并与乙方协商相关事宜</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五、乙方权利义务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eastAsia"/>
          <w:sz w:val="28"/>
          <w:szCs w:val="28"/>
        </w:rPr>
        <w:t>乙方有权按本合同约定使用冠名区域。未经甲方书面同意，乙方不得将</w:t>
      </w:r>
      <w:r>
        <w:rPr>
          <w:rFonts w:ascii="仿宋_GB2312" w:eastAsia="仿宋_GB2312" w:hAnsi="仿宋_GB2312" w:cs="仿宋_GB2312" w:hint="eastAsia"/>
          <w:sz w:val="28"/>
          <w:szCs w:val="28"/>
          <w:lang w:val="en-US" w:eastAsia="zh-CN"/>
        </w:rPr>
        <w:t>冠名区域使用权</w:t>
      </w:r>
      <w:r>
        <w:rPr>
          <w:rFonts w:ascii="仿宋_GB2312" w:eastAsia="仿宋_GB2312" w:hAnsi="仿宋_GB2312" w:cs="仿宋_GB2312" w:hint="eastAsia"/>
          <w:sz w:val="28"/>
          <w:szCs w:val="28"/>
        </w:rPr>
        <w:t>转租、转让、抵押或以其他形式供第三方使用。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2.</w:t>
      </w:r>
      <w:r>
        <w:rPr>
          <w:rFonts w:ascii="仿宋_GB2312" w:eastAsia="仿宋_GB2312" w:hAnsi="仿宋_GB2312" w:cs="仿宋_GB2312" w:hint="eastAsia"/>
          <w:sz w:val="28"/>
          <w:szCs w:val="28"/>
        </w:rPr>
        <w:t>乙方负责出资设计、建设本合同第一条所述的雪茄吧</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val="en-US" w:eastAsia="zh-CN"/>
        </w:rPr>
        <w:t>精品雪茄（香烟）销售区及</w:t>
      </w:r>
      <w:r>
        <w:rPr>
          <w:rFonts w:ascii="仿宋_GB2312" w:eastAsia="仿宋_GB2312" w:hAnsi="仿宋_GB2312" w:cs="仿宋_GB2312" w:hint="eastAsia"/>
          <w:sz w:val="28"/>
          <w:szCs w:val="28"/>
        </w:rPr>
        <w:t>配套专业吸烟室，并确保建设方案、施工过程及最终成果符合国家、行业及甲方的相关标准与要求。所有设计方案须报甲方审核批准后方可实施。</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3.</w:t>
      </w:r>
      <w:r>
        <w:rPr>
          <w:rFonts w:ascii="仿宋_GB2312" w:eastAsia="仿宋_GB2312" w:hAnsi="仿宋_GB2312" w:cs="仿宋_GB2312" w:hint="eastAsia"/>
          <w:sz w:val="28"/>
          <w:szCs w:val="28"/>
        </w:rPr>
        <w:t>乙方在使用冠名区域期间，应从事本合同约定的服务项目</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rPr>
        <w:t>应遵守国家法律法规及甲方的各项管理规定，不得从事任何违法、违规或损害甲方声誉的行为。</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4.</w:t>
      </w:r>
      <w:r>
        <w:rPr>
          <w:rFonts w:ascii="仿宋_GB2312" w:eastAsia="仿宋_GB2312" w:hAnsi="仿宋_GB2312" w:cs="仿宋_GB2312" w:hint="eastAsia"/>
          <w:sz w:val="28"/>
          <w:szCs w:val="28"/>
        </w:rPr>
        <w:t>乙方工作人员在甲方场所内活动时，应遵守甲方相关管理规定，并服从甲方管理人员的管理。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5.</w:t>
      </w:r>
      <w:r>
        <w:rPr>
          <w:rFonts w:ascii="仿宋_GB2312" w:eastAsia="仿宋_GB2312" w:hAnsi="仿宋_GB2312" w:cs="仿宋_GB2312" w:hint="eastAsia"/>
          <w:sz w:val="28"/>
          <w:szCs w:val="28"/>
        </w:rPr>
        <w:t>合同有效期内，乙方如需要对冠名区域进行改造或调整，须提前向甲方提交书面申请及具体方案，经甲方审核批准后方可实施。</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lang w:val="en-US" w:eastAsia="zh-CN"/>
        </w:rPr>
        <w:t>6.</w:t>
      </w:r>
      <w:r>
        <w:rPr>
          <w:rFonts w:ascii="仿宋_GB2312" w:eastAsia="仿宋_GB2312" w:hAnsi="仿宋_GB2312" w:cs="仿宋_GB2312" w:hint="eastAsia"/>
          <w:sz w:val="28"/>
          <w:szCs w:val="28"/>
        </w:rPr>
        <w:t>乙方保证其开展的经营活动已获得相关品牌授权，并承担因授权问题引发的一切法律纠纷和经济责任</w:t>
      </w:r>
      <w:r>
        <w:rPr>
          <w:rFonts w:ascii="仿宋_GB2312" w:eastAsia="仿宋_GB2312" w:hAnsi="仿宋_GB2312"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7</w:t>
      </w:r>
      <w:r>
        <w:rPr>
          <w:rFonts w:ascii="仿宋_GB2312" w:eastAsia="仿宋_GB2312" w:hAnsi="仿宋_GB2312" w:cs="仿宋_GB2312" w:hint="eastAsia"/>
          <w:sz w:val="28"/>
          <w:szCs w:val="28"/>
        </w:rPr>
        <w:t>.乙方应对其在候机楼内工作的所有员工进行消防、空防安全、职业健康教育、环境管理培训；熟悉机场运行相关规章制度和操作规程签订并遵守《候机楼租赁单位消防、空防安全、环境保护、职业健康责任书》。</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8</w:t>
      </w:r>
      <w:r>
        <w:rPr>
          <w:rFonts w:ascii="仿宋_GB2312" w:eastAsia="仿宋_GB2312" w:hAnsi="仿宋_GB2312" w:cs="仿宋_GB2312" w:hint="eastAsia"/>
          <w:sz w:val="28"/>
          <w:szCs w:val="28"/>
        </w:rPr>
        <w:t>.如因乙方工作人员违反法律法规或工作失误，给甲方、机场旅客造成损失的，由乙方承担全部赔偿责任。乙方与甲方另行核算，不在本合同之内。</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9</w:t>
      </w:r>
      <w:r>
        <w:rPr>
          <w:rFonts w:ascii="仿宋_GB2312" w:eastAsia="仿宋_GB2312" w:hAnsi="仿宋_GB2312" w:cs="仿宋_GB2312" w:hint="eastAsia"/>
          <w:sz w:val="28"/>
          <w:szCs w:val="28"/>
        </w:rPr>
        <w:t>.乙方严禁在航站楼及控制区内存放易燃易爆和放射性物品、有毒有害物品等危险品及违禁物品。</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10</w:t>
      </w:r>
      <w:r>
        <w:rPr>
          <w:rFonts w:ascii="仿宋_GB2312" w:eastAsia="仿宋_GB2312" w:hAnsi="仿宋_GB2312" w:cs="仿宋_GB2312" w:hint="eastAsia"/>
          <w:sz w:val="28"/>
          <w:szCs w:val="28"/>
        </w:rPr>
        <w:t>.如因乙方工作人员在服务过程中引起服务投诉的，由乙方负责处理并依法承担相应责任。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default"/>
          <w:sz w:val="28"/>
          <w:szCs w:val="28"/>
          <w:lang w:val="en-US" w:eastAsia="zh-CN"/>
        </w:rPr>
      </w:pPr>
      <w:r>
        <w:rPr>
          <w:rFonts w:ascii="黑体" w:eastAsia="黑体" w:hAnsi="黑体" w:cs="黑体" w:hint="eastAsia"/>
          <w:sz w:val="28"/>
          <w:szCs w:val="28"/>
          <w:lang w:val="en-US" w:eastAsia="zh-CN"/>
        </w:rPr>
        <w:t>六</w:t>
      </w:r>
      <w:r>
        <w:rPr>
          <w:rFonts w:ascii="黑体" w:eastAsia="黑体" w:hAnsi="黑体" w:cs="黑体" w:hint="eastAsia"/>
          <w:sz w:val="28"/>
          <w:szCs w:val="28"/>
        </w:rPr>
        <w:t>、违约责任</w:t>
      </w:r>
      <w:r>
        <w:rPr>
          <w:rFonts w:ascii="黑体" w:eastAsia="黑体" w:hAnsi="黑体" w:cs="黑体" w:hint="eastAsia"/>
          <w:sz w:val="28"/>
          <w:szCs w:val="28"/>
          <w:lang w:val="en-US" w:eastAsia="zh-CN"/>
        </w:rPr>
        <w:t>及协议解除</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1.甲乙双方应遵守本协议所有约定，</w:t>
      </w:r>
      <w:r>
        <w:rPr>
          <w:rFonts w:ascii="仿宋_GB2312" w:eastAsia="仿宋_GB2312" w:hAnsi="仿宋_GB2312" w:cs="仿宋_GB2312" w:hint="eastAsia"/>
          <w:sz w:val="28"/>
          <w:szCs w:val="28"/>
        </w:rPr>
        <w:t>任何一方违反本合同约定，均应承担违约责任。违约方应向守约方支付年度冠名费20%的违约金；若违约金不足以弥补守约方损失的，违约方还应赔偿守约方的</w:t>
      </w:r>
      <w:r>
        <w:rPr>
          <w:rFonts w:ascii="仿宋_GB2312" w:eastAsia="仿宋_GB2312" w:hAnsi="仿宋_GB2312" w:cs="仿宋_GB2312" w:hint="eastAsia"/>
          <w:sz w:val="28"/>
          <w:szCs w:val="28"/>
          <w:lang w:val="en-US" w:eastAsia="zh-CN"/>
        </w:rPr>
        <w:t>直接实际</w:t>
      </w:r>
      <w:r>
        <w:rPr>
          <w:rFonts w:ascii="仿宋_GB2312" w:eastAsia="仿宋_GB2312" w:hAnsi="仿宋_GB2312" w:cs="仿宋_GB2312" w:hint="eastAsia"/>
          <w:sz w:val="28"/>
          <w:szCs w:val="28"/>
        </w:rPr>
        <w:t>损失。</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乙方未按本合同约定的期限支付冠名费、公众人物服务费或其他任何费用的，每逾期一日，应按当期应付未付金额的千分之五向甲方支付逾期付款违约金。逾期超过30日的，甲方有权单方面采取以下一项或多项措施：</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（1）单方解除本合同；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（2）暂停乙方使用冠名区域及相关服务，直至乙方付清全部款项为止；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（3）要求乙方承担本条第1款约定的违约责任。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3.乙方若出现以下情形，甲方有权责令其限期改正。逾期未改或情节严重的，甲方有权单方解除合同，并要求乙方承担本条第1款约定的违约责任，且甲方有权不退还已收取的冠名费：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（1）未经甲方书面批准，擅自对冠名区域进行改造、装修或改变用途；</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（2）其经营活动超出本项目所约定的或展示内容违反法律法规、公序良俗，或对甲方品牌形象造成实质性负面影响；</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（3）未经授权，超出约定范围使用甲方的名称、商标、标识等。</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4.</w:t>
      </w:r>
      <w:r>
        <w:rPr>
          <w:rFonts w:ascii="仿宋_GB2312" w:eastAsia="仿宋_GB2312" w:hAnsi="仿宋_GB2312" w:cs="仿宋_GB2312" w:hint="eastAsia"/>
          <w:sz w:val="28"/>
          <w:szCs w:val="28"/>
        </w:rPr>
        <w:t>合同有效期内，除本合同约定的甲方解约权情形外，若乙方单方面要求提前解约，应提前60日书面通知甲方。经甲方同意后，本合同解除，但乙方已支付的冠名费不予退还，且乙方应向甲方支付相当于三个月冠名费的违约金，用于补偿甲方的预期收益损失及重新招商的成本。</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5.</w:t>
      </w:r>
      <w:r>
        <w:rPr>
          <w:rFonts w:ascii="仿宋_GB2312" w:eastAsia="仿宋_GB2312" w:hAnsi="仿宋_GB2312" w:cs="仿宋_GB2312" w:hint="eastAsia"/>
          <w:sz w:val="28"/>
          <w:szCs w:val="28"/>
        </w:rPr>
        <w:t>若因甲方原因（如未能提供合同约定的冠名区域使用权）导致合同无法继续履行，甲方应返还乙方已支付但尚未届满期间的冠名费，并赔偿乙方因此遭受的直接损失（以实际投入的建设成本为上限）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eastAsia="zh-CN"/>
        </w:rPr>
        <w:t>6.</w:t>
      </w:r>
      <w:r>
        <w:rPr>
          <w:rFonts w:ascii="仿宋_GB2312" w:eastAsia="仿宋_GB2312" w:hAnsi="仿宋_GB2312" w:cs="仿宋_GB2312" w:hint="eastAsia"/>
          <w:sz w:val="28"/>
          <w:szCs w:val="28"/>
        </w:rPr>
        <w:t>本合同约定的各项违约责任条款可同时适用，互不排斥。</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七</w:t>
      </w:r>
      <w:r>
        <w:rPr>
          <w:rFonts w:ascii="黑体" w:eastAsia="黑体" w:hAnsi="黑体" w:cs="黑体" w:hint="eastAsia"/>
          <w:sz w:val="28"/>
          <w:szCs w:val="28"/>
        </w:rPr>
        <w:t>、</w:t>
      </w:r>
      <w:r>
        <w:rPr>
          <w:rFonts w:ascii="黑体" w:eastAsia="黑体" w:hAnsi="黑体" w:cs="黑体" w:hint="eastAsia"/>
          <w:sz w:val="28"/>
          <w:szCs w:val="28"/>
          <w:lang w:val="en-US" w:eastAsia="zh-CN"/>
        </w:rPr>
        <w:t>免责条款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当发生不可抗力，包括但不限于自然灾害、战争、动乱、罢工等；或出现法律法规、政府政策变化；或意外事件，导致本合同不能继续履行，遭受免责事件的一方应通知对方、采取相应措施避免损失的扩大，并在事后提供相关部门的书面证明文件，方可免除相应的违约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2.当出现双方在订立合同时无法预见的、不属于商业风险的重大变化，双方不能协商变更合同导致合同解除的，双方互不承担违约责任。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3.因治安管理案件或刑事犯罪案件，包括但不限于故意伤害、爆炸、偷盗、抢劫等导致人身伤害或财产损失的，由行为人承担责任。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八、保密条款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1.甲乙双方承诺，不对任何人泄露本合同内容，但依照法律规定或有权机关要求提供的除外。</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2.未经对方同意，任何一方不得对外公布本合同内容及在履行合同过程中</w:t>
      </w:r>
      <w:r>
        <w:rPr>
          <w:rFonts w:cs="仿宋_GB2312" w:hint="eastAsia"/>
          <w:sz w:val="28"/>
          <w:szCs w:val="28"/>
          <w:lang w:val="en-US" w:eastAsia="zh-CN"/>
        </w:rPr>
        <w:t>知悉</w:t>
      </w:r>
      <w:r>
        <w:rPr>
          <w:rFonts w:ascii="仿宋_GB2312" w:eastAsia="仿宋_GB2312" w:hAnsi="仿宋_GB2312" w:cs="仿宋_GB2312" w:hint="eastAsia"/>
          <w:sz w:val="28"/>
          <w:szCs w:val="28"/>
          <w:lang w:val="en-US" w:eastAsia="zh-CN"/>
        </w:rPr>
        <w:t>对方的商业秘密并应妥善保管合同及相关文件资料。</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3.本条约定的保密义务在本合同变更、解除或终止后持续有效，直至该信息成为公开信息。</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jc w:val="both"/>
        <w:textAlignment w:val="auto"/>
        <w:rPr>
          <w:rFonts w:ascii="黑体" w:eastAsia="黑体" w:hAnsi="黑体" w:cs="黑体" w:hint="eastAsia"/>
          <w:sz w:val="28"/>
          <w:szCs w:val="28"/>
          <w:lang w:val="en-US" w:eastAsia="zh-CN"/>
        </w:rPr>
      </w:pPr>
      <w:r>
        <w:rPr>
          <w:rFonts w:ascii="黑体" w:eastAsia="黑体" w:hAnsi="黑体" w:cs="黑体" w:hint="eastAsia"/>
          <w:sz w:val="28"/>
          <w:szCs w:val="28"/>
          <w:lang w:val="en-US" w:eastAsia="zh-CN"/>
        </w:rPr>
        <w:t>九、其他约定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lang w:val="en-US" w:eastAsia="zh-CN"/>
        </w:rPr>
        <w:t>1.</w:t>
      </w:r>
      <w:r>
        <w:rPr>
          <w:rFonts w:ascii="仿宋_GB2312" w:eastAsia="仿宋_GB2312" w:hAnsi="仿宋_GB2312" w:cs="仿宋_GB2312" w:hint="default"/>
          <w:sz w:val="28"/>
          <w:szCs w:val="28"/>
          <w:lang w:val="en-US" w:eastAsia="zh-CN"/>
        </w:rPr>
        <w:t>本合同未尽事宜，双方可签订补充协议，补充协议与本合同具有同等法律效力。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lang w:val="en-US" w:eastAsia="zh-CN"/>
        </w:rPr>
        <w:t>2.</w:t>
      </w:r>
      <w:r>
        <w:rPr>
          <w:rFonts w:ascii="仿宋_GB2312" w:eastAsia="仿宋_GB2312" w:hAnsi="仿宋_GB2312" w:cs="仿宋_GB2312" w:hint="default"/>
          <w:sz w:val="28"/>
          <w:szCs w:val="28"/>
          <w:lang w:val="en-US" w:eastAsia="zh-CN"/>
        </w:rPr>
        <w:t>因履行本合同发生争议，双方应协商解决；协商不成的，任何一方有权向协议项目所在地有管辖权的人民法院提起诉讼</w:t>
      </w:r>
      <w:r>
        <w:rPr>
          <w:rFonts w:ascii="仿宋_GB2312" w:eastAsia="仿宋_GB2312" w:hAnsi="仿宋_GB2312" w:cs="仿宋_GB2312"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lang w:val="en-US" w:eastAsia="zh-CN"/>
        </w:rPr>
        <w:t>十、</w:t>
      </w:r>
      <w:r>
        <w:rPr>
          <w:rFonts w:ascii="黑体" w:eastAsia="黑体" w:hAnsi="黑体" w:cs="黑体" w:hint="eastAsia"/>
          <w:sz w:val="28"/>
          <w:szCs w:val="28"/>
        </w:rPr>
        <w:t>双方结算信息</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1.甲方的账户信息：</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结算单位：成都双流国际机场股份有限公司</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开户行</w:t>
      </w:r>
      <w:r>
        <w:rPr>
          <w:rFonts w:cs="仿宋_GB2312" w:hint="eastAsia"/>
          <w:sz w:val="28"/>
          <w:szCs w:val="28"/>
          <w:lang w:eastAsia="zh-CN"/>
        </w:rPr>
        <w:t>：</w:t>
      </w:r>
      <w:r>
        <w:rPr>
          <w:rFonts w:ascii="仿宋_GB2312" w:eastAsia="仿宋_GB2312" w:hAnsi="仿宋_GB2312" w:cs="仿宋_GB2312" w:hint="eastAsia"/>
          <w:sz w:val="28"/>
          <w:szCs w:val="28"/>
        </w:rPr>
        <w:t>中国银行股份有限公司双流机场支行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账号：130655437114</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财务联系人：刘雯雯</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电话：028-85206060</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2.乙方单位结算联系人及联系方式：</w:t>
      </w:r>
      <w:r>
        <w:rPr>
          <w:rFonts w:ascii="仿宋_GB2312" w:eastAsia="仿宋_GB2312" w:hAnsi="仿宋_GB2312" w:cs="仿宋_GB2312" w:hint="eastAsia"/>
          <w:sz w:val="28"/>
          <w:szCs w:val="28"/>
          <w:lang w:val="en-US" w:eastAsia="zh-CN"/>
        </w:rPr>
        <w:t>XXX</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3.本协议双方以人民币作为结算货币。</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4.本协议项下的价款费用均为包含增值税的含税价。</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lang w:val="en-US" w:eastAsia="zh-CN"/>
        </w:rPr>
        <w:t>十一</w:t>
      </w:r>
      <w:r>
        <w:rPr>
          <w:rFonts w:ascii="黑体" w:eastAsia="黑体" w:hAnsi="黑体" w:cs="黑体" w:hint="eastAsia"/>
          <w:sz w:val="28"/>
          <w:szCs w:val="28"/>
        </w:rPr>
        <w:t>、合同有效期限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1.本合同有效期为</w:t>
      </w:r>
      <w:r>
        <w:rPr>
          <w:rFonts w:cs="仿宋_GB2312" w:hint="eastAsia"/>
          <w:sz w:val="28"/>
          <w:szCs w:val="28"/>
          <w:lang w:val="en-US" w:eastAsia="zh-CN"/>
        </w:rPr>
        <w:t>1</w:t>
      </w:r>
      <w:r>
        <w:rPr>
          <w:rFonts w:ascii="仿宋_GB2312" w:eastAsia="仿宋_GB2312" w:hAnsi="仿宋_GB2312" w:cs="仿宋_GB2312" w:hint="eastAsia"/>
          <w:sz w:val="28"/>
          <w:szCs w:val="28"/>
        </w:rPr>
        <w:t>年，自</w:t>
      </w:r>
      <w:r>
        <w:rPr>
          <w:rFonts w:cs="仿宋_GB2312" w:hint="eastAsia"/>
          <w:sz w:val="28"/>
          <w:szCs w:val="28"/>
          <w:lang w:val="en-US" w:eastAsia="zh-CN"/>
        </w:rPr>
        <w:t>2025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 xml:space="preserve">日至 </w:t>
      </w:r>
      <w:r>
        <w:rPr>
          <w:rFonts w:cs="仿宋_GB2312" w:hint="eastAsia"/>
          <w:sz w:val="28"/>
          <w:szCs w:val="28"/>
          <w:lang w:val="en-US" w:eastAsia="zh-CN"/>
        </w:rPr>
        <w:t>2026</w:t>
      </w:r>
      <w:r>
        <w:rPr>
          <w:rFonts w:ascii="仿宋_GB2312" w:eastAsia="仿宋_GB2312" w:hAnsi="仿宋_GB2312" w:cs="仿宋_GB2312" w:hint="eastAsia"/>
          <w:sz w:val="28"/>
          <w:szCs w:val="28"/>
        </w:rPr>
        <w:t xml:space="preserve"> 年</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 xml:space="preserve"> 月</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日。合同期满前</w:t>
      </w:r>
      <w:r>
        <w:rPr>
          <w:rFonts w:ascii="仿宋_GB2312" w:eastAsia="仿宋_GB2312" w:hAnsi="仿宋_GB2312" w:cs="仿宋_GB2312" w:hint="eastAsia"/>
          <w:sz w:val="28"/>
          <w:szCs w:val="28"/>
          <w:highlight w:val="none"/>
        </w:rPr>
        <w:t>30 日内，若双方对履约情况无异议，可协商一致顺延本合同有效期，每次顺延期限为1年，最多顺延2次。</w:t>
      </w:r>
      <w:r>
        <w:rPr>
          <w:rFonts w:ascii="仿宋_GB2312" w:eastAsia="仿宋_GB2312" w:hAnsi="仿宋_GB2312" w:cs="仿宋_GB2312" w:hint="eastAsia"/>
          <w:sz w:val="28"/>
          <w:szCs w:val="28"/>
        </w:rPr>
        <w:t>顺延事宜需由双方签署顺延确认函，明确顺延期限及其他需调整的条款；若双方未就顺延达成一致，本合同到期后自动终止。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2.本协议有效期届满前3个月内，甲乙双方应就续签事宜进行协商，并尽力在本协议到期前完成新协议的签署</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rPr>
        <w:t>若新协议未在到期前签署，但本协议到期后，乙方按原标准支付费用且甲方继续提供服务、乙方接受的，视为双方同意暂按本协议原条款继续履行（双方另有约定的除外）。在此期间，双方仍应积极推进新协议签署；</w:t>
      </w:r>
      <w:r>
        <w:rPr>
          <w:rFonts w:ascii="仿宋_GB2312" w:eastAsia="仿宋_GB2312" w:hAnsi="仿宋_GB2312" w:cs="仿宋_GB2312" w:hint="eastAsia"/>
          <w:sz w:val="28"/>
          <w:szCs w:val="28"/>
          <w:lang w:val="en-US" w:eastAsia="zh-CN"/>
        </w:rPr>
        <w:t>若</w:t>
      </w:r>
      <w:r>
        <w:rPr>
          <w:rFonts w:ascii="仿宋_GB2312" w:eastAsia="仿宋_GB2312" w:hAnsi="仿宋_GB2312" w:cs="仿宋_GB2312" w:hint="eastAsia"/>
          <w:sz w:val="28"/>
          <w:szCs w:val="28"/>
        </w:rPr>
        <w:t>因乙方无正当理由导致新协议在上述过渡履行开始后30日内仍未签署的，甲方有权提前10日书面通知乙方后，停止提供服务，且无需承担由此产生的任何责任。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lang w:val="en-US" w:eastAsia="zh-CN"/>
        </w:rPr>
        <w:t>十二</w:t>
      </w:r>
      <w:r>
        <w:rPr>
          <w:rFonts w:ascii="黑体" w:eastAsia="黑体" w:hAnsi="黑体" w:cs="黑体" w:hint="eastAsia"/>
          <w:sz w:val="28"/>
          <w:szCs w:val="28"/>
        </w:rPr>
        <w:t>、送达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凡因本协议产生的或与本协议有关的一切争议所涉及的各类通知、协议、函件等相关文件和法律文书的送达（包括在争议进入仲裁或者民事诉讼程序后的一审、二审、再审和执行等程序的送达）、送达地址及法律后果，甲乙双方约定如下：</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1.送达地址确认</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甲方的有效送达地址：成都双流国际机场股份有限公司综合保障西区综合楼</w:t>
      </w:r>
      <w:r>
        <w:rPr>
          <w:rFonts w:ascii="仿宋_GB2312" w:eastAsia="仿宋_GB2312" w:hAnsi="仿宋_GB2312" w:cs="仿宋_GB2312" w:hint="eastAsia"/>
          <w:sz w:val="28"/>
          <w:szCs w:val="28"/>
          <w:lang w:val="en-US" w:eastAsia="zh-CN"/>
        </w:rPr>
        <w:t>422</w:t>
      </w:r>
      <w:r>
        <w:rPr>
          <w:rFonts w:ascii="仿宋_GB2312" w:eastAsia="仿宋_GB2312" w:hAnsi="仿宋_GB2312" w:cs="仿宋_GB2312" w:hint="eastAsia"/>
          <w:sz w:val="28"/>
          <w:szCs w:val="28"/>
        </w:rPr>
        <w:t>；收件人：</w:t>
      </w:r>
      <w:r>
        <w:rPr>
          <w:rFonts w:ascii="仿宋_GB2312" w:eastAsia="仿宋_GB2312" w:hAnsi="仿宋_GB2312" w:cs="仿宋_GB2312" w:hint="eastAsia"/>
          <w:sz w:val="28"/>
          <w:szCs w:val="28"/>
          <w:lang w:val="en-US" w:eastAsia="zh-CN"/>
        </w:rPr>
        <w:t>吴娱</w:t>
      </w:r>
      <w:r>
        <w:rPr>
          <w:rFonts w:ascii="仿宋_GB2312" w:eastAsia="仿宋_GB2312" w:hAnsi="仿宋_GB2312" w:cs="仿宋_GB2312" w:hint="eastAsia"/>
          <w:sz w:val="28"/>
          <w:szCs w:val="28"/>
        </w:rPr>
        <w:t>；甲方的有效送达</w:t>
      </w:r>
      <w:r>
        <w:rPr>
          <w:rFonts w:cs="仿宋_GB2312" w:hint="eastAsia"/>
          <w:sz w:val="28"/>
          <w:szCs w:val="28"/>
          <w:lang w:val="en-US" w:eastAsia="zh-CN"/>
        </w:rPr>
        <w:t>邮箱：</w:t>
      </w:r>
      <w:r>
        <w:rPr>
          <w:rFonts w:ascii="仿宋_GB2312" w:eastAsia="仿宋_GB2312" w:hAnsi="仿宋_GB2312" w:cs="仿宋_GB2312" w:hint="eastAsia"/>
          <w:sz w:val="28"/>
          <w:szCs w:val="28"/>
          <w:lang w:val="en-US" w:eastAsia="zh-CN"/>
        </w:rPr>
        <w:t>382098617@QQ.com</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乙方的有效送达地址：</w:t>
      </w:r>
      <w:r>
        <w:rPr>
          <w:rFonts w:ascii="仿宋_GB2312" w:eastAsia="仿宋_GB2312" w:hAnsi="仿宋_GB2312" w:cs="仿宋_GB2312" w:hint="eastAsia"/>
          <w:sz w:val="28"/>
          <w:szCs w:val="28"/>
          <w:lang w:val="en-US" w:eastAsia="zh-CN"/>
        </w:rPr>
        <w:t>XXX</w:t>
      </w:r>
      <w:r>
        <w:rPr>
          <w:rFonts w:ascii="仿宋_GB2312" w:eastAsia="仿宋_GB2312" w:hAnsi="仿宋_GB2312" w:cs="仿宋_GB2312" w:hint="eastAsia"/>
          <w:sz w:val="28"/>
          <w:szCs w:val="28"/>
        </w:rPr>
        <w:t>；收件人：</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；乙方的有效送达邮箱：</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val="en-US" w:eastAsia="zh-CN"/>
        </w:rPr>
        <w:t>.</w:t>
      </w:r>
      <w:r>
        <w:rPr>
          <w:rFonts w:ascii="仿宋_GB2312" w:eastAsia="仿宋_GB2312" w:hAnsi="仿宋_GB2312" w:cs="仿宋_GB2312" w:hint="eastAsia"/>
          <w:sz w:val="28"/>
          <w:szCs w:val="28"/>
        </w:rPr>
        <w:t>地址变更</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甲乙双方的上述送达地址或者邮箱</w:t>
      </w:r>
      <w:r>
        <w:rPr>
          <w:rFonts w:cs="仿宋_GB2312" w:hint="eastAsia"/>
          <w:sz w:val="28"/>
          <w:szCs w:val="28"/>
          <w:lang w:eastAsia="zh-CN"/>
        </w:rPr>
        <w:t>发生</w:t>
      </w:r>
      <w:r>
        <w:rPr>
          <w:rFonts w:ascii="仿宋_GB2312" w:eastAsia="仿宋_GB2312" w:hAnsi="仿宋_GB2312" w:cs="仿宋_GB2312" w:hint="eastAsia"/>
          <w:sz w:val="28"/>
          <w:szCs w:val="28"/>
        </w:rPr>
        <w:t>变化时应当向对方履行书面的通知义务；仲裁及民事诉讼阶段甲乙双方地址变更时也应当向仲裁机构、人民法院履行送达地址变更的通知义务。未履行以上通知义务的，双方确认的送达地址仍视为有效送达地址，有关法律后果由各方自行承担。</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3.有效送达。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除本合同另有约定外，有效送达的日期按以下方法确定：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（1）专人递交的，在专人递交签收或者盖章之日视为有效送达；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（2）以挂号信（预付邮资）发出的，在寄出日（以邮戳为凭）后的第五日视为有效送达；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（3）以快递发送的，在发送日（以快递公司出具的收据为凭）后的第三日视为有效送达；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（4）以电子邮件方式发出的，在邮件成功发送时刻 24 小时后视为有效送达，如因接收方提供的电子邮箱不准确导致邮件发送失败的，自邮件发送失败时刻视为有效送达。</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4.特别约定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因以下情形导致各类通知、协议、函件等文件或者法律文书未被对方接收的，依然产生送达的法律后果：</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rPr>
        <w:t>（1）因一方或者双方提供或者确认的送达地址不准确的</w:t>
      </w:r>
      <w:r>
        <w:rPr>
          <w:rFonts w:cs="仿宋_GB2312"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（2）送达地址变更后未及时书面告知对方或者仲裁机构、人民法院的；</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（3）一方或者双方（包括其法定代表人、前台、收发室或者其他有权签收人）拒绝签收的。</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发生上述情形时，邮寄送达的，以寄出之日或者文书退回之日视为送达之日；直接送达的，送达人（包括但不限于各方职员、律师或者公证人员）当场在送达函件或者送达回证上记明情况之日为送达之日。</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5.本条送达条款与争议解决方法条款独立存在的条款，不受本协议其他条款效力的约束</w:t>
      </w:r>
      <w:r>
        <w:rPr>
          <w:rFonts w:cs="仿宋_GB2312" w:hint="eastAsia"/>
          <w:sz w:val="28"/>
          <w:szCs w:val="28"/>
          <w:lang w:eastAsia="zh-CN"/>
        </w:rPr>
        <w:t>或</w:t>
      </w:r>
      <w:r>
        <w:rPr>
          <w:rFonts w:ascii="仿宋_GB2312" w:eastAsia="仿宋_GB2312" w:hAnsi="仿宋_GB2312" w:cs="仿宋_GB2312" w:hint="eastAsia"/>
          <w:sz w:val="28"/>
          <w:szCs w:val="28"/>
        </w:rPr>
        <w:t>影响。</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lang w:val="en-US" w:eastAsia="zh-CN"/>
        </w:rPr>
        <w:t>十三</w:t>
      </w:r>
      <w:r>
        <w:rPr>
          <w:rFonts w:ascii="黑体" w:eastAsia="黑体" w:hAnsi="黑体" w:cs="黑体" w:hint="eastAsia"/>
          <w:sz w:val="28"/>
          <w:szCs w:val="28"/>
        </w:rPr>
        <w:t>、协议生效</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协议一式陆份，甲方持叁份，乙方持叁份，具有同等法律效力。本协议及附件经双方法定代表人（负责人）或授权代表签字并加盖双方公章或合同专用章后生效。附件是本协议不可分割的组成部分，与本协议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eastAsia="黑体" w:hAnsi="黑体" w:cs="黑体" w:hint="eastAsia"/>
          <w:sz w:val="28"/>
          <w:szCs w:val="28"/>
        </w:rPr>
      </w:pPr>
      <w:r>
        <w:rPr>
          <w:rFonts w:ascii="黑体" w:eastAsia="黑体" w:hAnsi="黑体" w:cs="黑体" w:hint="eastAsia"/>
          <w:sz w:val="28"/>
          <w:szCs w:val="28"/>
        </w:rPr>
        <w:t>十</w:t>
      </w:r>
      <w:r>
        <w:rPr>
          <w:rFonts w:ascii="黑体" w:eastAsia="黑体" w:hAnsi="黑体" w:cs="黑体" w:hint="eastAsia"/>
          <w:sz w:val="28"/>
          <w:szCs w:val="28"/>
          <w:lang w:val="en-US" w:eastAsia="zh-CN"/>
        </w:rPr>
        <w:t>四</w:t>
      </w:r>
      <w:r>
        <w:rPr>
          <w:rFonts w:ascii="黑体" w:eastAsia="黑体" w:hAnsi="黑体" w:cs="黑体" w:hint="eastAsia"/>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附件 </w:t>
      </w:r>
      <w:r>
        <w:rPr>
          <w:rFonts w:cs="仿宋_GB2312" w:hint="eastAsia"/>
          <w:sz w:val="28"/>
          <w:szCs w:val="28"/>
          <w:lang w:val="en-US" w:eastAsia="zh-CN"/>
        </w:rPr>
        <w:t>6-</w:t>
      </w:r>
      <w:r>
        <w:rPr>
          <w:rFonts w:ascii="仿宋_GB2312" w:eastAsia="仿宋_GB2312" w:hAnsi="仿宋_GB2312" w:cs="仿宋_GB2312" w:hint="eastAsia"/>
          <w:sz w:val="28"/>
          <w:szCs w:val="28"/>
        </w:rPr>
        <w:t>1：国内</w:t>
      </w:r>
      <w:r>
        <w:rPr>
          <w:rFonts w:cs="仿宋_GB2312" w:hint="eastAsia"/>
          <w:sz w:val="28"/>
          <w:szCs w:val="28"/>
          <w:lang w:eastAsia="zh-CN"/>
        </w:rPr>
        <w:t>两舱</w:t>
      </w:r>
      <w:r>
        <w:rPr>
          <w:rFonts w:ascii="仿宋_GB2312" w:eastAsia="仿宋_GB2312" w:hAnsi="仿宋_GB2312" w:cs="仿宋_GB2312" w:hint="eastAsia"/>
          <w:sz w:val="28"/>
          <w:szCs w:val="28"/>
        </w:rPr>
        <w:t>休息室服务内容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default"/>
          <w:sz w:val="28"/>
          <w:szCs w:val="28"/>
          <w:lang w:val="en-US" w:eastAsia="zh-CN"/>
        </w:rPr>
      </w:pPr>
      <w:r>
        <w:rPr>
          <w:rFonts w:ascii="仿宋_GB2312" w:eastAsia="仿宋_GB2312" w:hAnsi="仿宋_GB2312" w:cs="仿宋_GB2312" w:hint="eastAsia"/>
          <w:sz w:val="28"/>
          <w:szCs w:val="28"/>
        </w:rPr>
        <w:t xml:space="preserve">附件 </w:t>
      </w:r>
      <w:r>
        <w:rPr>
          <w:rFonts w:cs="仿宋_GB2312" w:hint="eastAsia"/>
          <w:sz w:val="28"/>
          <w:szCs w:val="28"/>
          <w:lang w:val="en-US" w:eastAsia="zh-CN"/>
        </w:rPr>
        <w:t>6-</w:t>
      </w:r>
      <w:r>
        <w:rPr>
          <w:rFonts w:ascii="仿宋_GB2312" w:eastAsia="仿宋_GB2312" w:hAnsi="仿宋_GB2312" w:cs="仿宋_GB2312" w:hint="eastAsia"/>
          <w:sz w:val="28"/>
          <w:szCs w:val="28"/>
        </w:rPr>
        <w:t>2：</w:t>
      </w:r>
      <w:r>
        <w:rPr>
          <w:rFonts w:cs="仿宋_GB2312" w:hint="eastAsia"/>
          <w:sz w:val="28"/>
          <w:szCs w:val="28"/>
          <w:lang w:eastAsia="zh-CN"/>
        </w:rPr>
        <w:t>“</w:t>
      </w:r>
      <w:r>
        <w:rPr>
          <w:rFonts w:ascii="仿宋_GB2312" w:eastAsia="仿宋_GB2312" w:hAnsi="仿宋_GB2312" w:cs="仿宋_GB2312" w:hint="eastAsia"/>
          <w:sz w:val="28"/>
          <w:szCs w:val="28"/>
          <w:lang w:val="en-US" w:eastAsia="zh-CN"/>
        </w:rPr>
        <w:t>自在·茄境”雪茄吧项目点位</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甲方：成都双流国际机场有限股份有限公司（章）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法定代表人或授权代表（签章）：</w:t>
      </w:r>
      <w:r>
        <w:rPr>
          <w:rFonts w:ascii="仿宋_GB2312" w:eastAsia="仿宋_GB2312" w:hAnsi="仿宋_GB2312" w:cs="仿宋_GB2312"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lang w:val="en-US" w:eastAsia="zh-CN"/>
        </w:rPr>
        <w:t>吴娱</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US" w:eastAsia="zh-CN"/>
        </w:rPr>
        <w:t xml:space="preserve">          </w:t>
      </w:r>
      <w:r>
        <w:rPr>
          <w:rFonts w:ascii="仿宋_GB2312" w:eastAsia="仿宋_GB2312" w:hAnsi="仿宋_GB2312" w:cs="仿宋_GB2312" w:hint="eastAsia"/>
          <w:sz w:val="28"/>
          <w:szCs w:val="28"/>
        </w:rPr>
        <w:t>联系电话：028-85206156</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乙方：</w:t>
      </w:r>
      <w:r>
        <w:rPr>
          <w:rFonts w:cs="仿宋_GB2312" w:hint="eastAsia"/>
          <w:b/>
          <w:bCs/>
          <w:sz w:val="28"/>
          <w:szCs w:val="28"/>
          <w:lang w:val="en-US" w:eastAsia="zh-CN"/>
        </w:rPr>
        <w:t>XXX</w:t>
      </w:r>
      <w:r>
        <w:rPr>
          <w:rFonts w:ascii="仿宋_GB2312" w:eastAsia="仿宋_GB2312" w:hAnsi="仿宋_GB2312" w:cs="仿宋_GB2312" w:hint="eastAsia"/>
          <w:b/>
          <w:bCs/>
          <w:sz w:val="28"/>
          <w:szCs w:val="28"/>
        </w:rPr>
        <w:t>（章）</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法定代表人或授权代表（签章）：</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联系人</w:t>
      </w:r>
      <w:r>
        <w:rPr>
          <w:rFonts w:cs="仿宋_GB2312" w:hint="eastAsia"/>
          <w:sz w:val="28"/>
          <w:szCs w:val="28"/>
          <w:lang w:eastAsia="zh-CN"/>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US" w:eastAsia="zh-CN"/>
        </w:rPr>
        <w:t>XX</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US" w:eastAsia="zh-CN"/>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lang w:val="en-US" w:eastAsia="zh-CN"/>
        </w:rPr>
        <w:t>XX</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ascii="仿宋_GB2312" w:eastAsia="仿宋_GB2312" w:hAnsi="仿宋_GB2312" w:cs="仿宋_GB2312" w:hint="default"/>
          <w:sz w:val="28"/>
          <w:szCs w:val="28"/>
        </w:rPr>
        <w:sectPr>
          <w:footerReference w:type="default" r:id="rId8"/>
          <w:pgSz w:w="11906" w:h="16838"/>
          <w:pgMar w:top="2098" w:right="1417" w:bottom="1984" w:left="1417" w:header="851" w:footer="992" w:gutter="0"/>
          <w:cols w:num="1" w:space="425"/>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黑体" w:eastAsia="黑体" w:hAnsi="黑体" w:cs="黑体" w:hint="default"/>
          <w:sz w:val="28"/>
          <w:szCs w:val="28"/>
          <w:lang w:val="en-US" w:eastAsia="zh-CN"/>
        </w:rPr>
      </w:pPr>
      <w:r>
        <w:rPr>
          <w:rFonts w:ascii="黑体" w:eastAsia="黑体" w:hAnsi="黑体" w:cs="黑体" w:hint="eastAsia"/>
          <w:sz w:val="28"/>
          <w:szCs w:val="28"/>
        </w:rPr>
        <w:t xml:space="preserve">附件 </w:t>
      </w:r>
      <w:r>
        <w:rPr>
          <w:rFonts w:ascii="黑体" w:eastAsia="黑体" w:hAnsi="黑体" w:cs="黑体" w:hint="eastAsia"/>
          <w:sz w:val="28"/>
          <w:szCs w:val="28"/>
          <w:lang w:val="en-US" w:eastAsia="zh-CN"/>
        </w:rPr>
        <w:t>6-1</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黑体" w:eastAsia="黑体" w:hAnsi="黑体" w:cs="黑体"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国内</w:t>
      </w:r>
      <w:r>
        <w:rPr>
          <w:rFonts w:ascii="方正小标宋简体" w:eastAsia="方正小标宋简体" w:hAnsi="方正小标宋简体" w:cs="方正小标宋简体" w:hint="eastAsia"/>
          <w:sz w:val="32"/>
          <w:szCs w:val="32"/>
          <w:lang w:eastAsia="zh-CN"/>
        </w:rPr>
        <w:t>两舱</w:t>
      </w:r>
      <w:r>
        <w:rPr>
          <w:rFonts w:ascii="方正小标宋简体" w:eastAsia="方正小标宋简体" w:hAnsi="方正小标宋简体" w:cs="方正小标宋简体" w:hint="eastAsia"/>
          <w:sz w:val="32"/>
          <w:szCs w:val="32"/>
        </w:rPr>
        <w:t>休息室服务内容</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1.提供国内</w:t>
      </w:r>
      <w:r>
        <w:rPr>
          <w:rFonts w:cs="仿宋_GB2312" w:hint="eastAsia"/>
          <w:sz w:val="28"/>
          <w:szCs w:val="28"/>
          <w:lang w:eastAsia="zh-CN"/>
        </w:rPr>
        <w:t>两舱</w:t>
      </w:r>
      <w:r>
        <w:rPr>
          <w:rFonts w:ascii="仿宋_GB2312" w:eastAsia="仿宋_GB2312" w:hAnsi="仿宋_GB2312" w:cs="仿宋_GB2312" w:hint="eastAsia"/>
          <w:sz w:val="28"/>
          <w:szCs w:val="28"/>
        </w:rPr>
        <w:t>休息室候机服务。</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2.提供独立安检通道。</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3.为乙方贵宾免费提供多种小食品、饮品。</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4.用餐时段提</w:t>
      </w:r>
      <w:r>
        <w:rPr>
          <w:rFonts w:ascii="仿宋_GB2312" w:eastAsia="仿宋_GB2312" w:hAnsi="仿宋_GB2312" w:cs="仿宋_GB2312" w:hint="eastAsia"/>
          <w:sz w:val="28"/>
          <w:szCs w:val="28"/>
          <w:highlight w:val="none"/>
        </w:rPr>
        <w:t>供热餐服务</w:t>
      </w:r>
      <w:r>
        <w:rPr>
          <w:rFonts w:ascii="仿宋_GB2312" w:eastAsia="仿宋_GB2312" w:hAnsi="仿宋_GB2312" w:cs="仿宋_GB2312"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5.提供多种书报杂志。</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6.提供相关航班信息查询服务。</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7.提供进厅验证时的登机提醒服务（提醒乘客须自行关注登机时</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间，服务员不再在厅内做统一的提示）。</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8.甲方负责为乙方客人提供登机指引服务。</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9.同一航班可对 2 名 6 岁（不含）以下随行儿童免费提供服务。</w:t>
      </w:r>
    </w:p>
    <w:p>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sectPr>
          <w:pgSz w:w="11906" w:h="16838"/>
          <w:pgMar w:top="2098" w:right="1417" w:bottom="1984" w:left="1417" w:header="851" w:footer="992" w:gutter="0"/>
          <w:cols w:num="1" w:space="425"/>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黑体" w:eastAsia="黑体" w:hAnsi="黑体" w:cs="黑体" w:hint="eastAsia"/>
          <w:sz w:val="28"/>
          <w:szCs w:val="28"/>
          <w:lang w:val="en-US" w:eastAsia="zh-CN"/>
        </w:rPr>
      </w:pPr>
      <w:r>
        <w:rPr>
          <w:rFonts w:ascii="黑体" w:eastAsia="黑体" w:hAnsi="黑体" w:cs="黑体" w:hint="eastAsia"/>
          <w:sz w:val="28"/>
          <w:szCs w:val="28"/>
        </w:rPr>
        <w:t>附件</w:t>
      </w:r>
      <w:r>
        <w:rPr>
          <w:rFonts w:ascii="黑体" w:eastAsia="黑体" w:hAnsi="黑体" w:cs="黑体" w:hint="eastAsia"/>
          <w:sz w:val="28"/>
          <w:szCs w:val="28"/>
          <w:lang w:val="en-US" w:eastAsia="zh-CN"/>
        </w:rPr>
        <w:t>6-2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val="0"/>
          <w:sz w:val="32"/>
          <w:szCs w:val="32"/>
          <w:lang w:val="en-US" w:eastAsia="zh-CN"/>
        </w:rPr>
      </w:pPr>
      <w:r>
        <w:rPr>
          <w:rFonts w:ascii="方正小标宋简体" w:eastAsia="方正小标宋简体" w:hAnsi="方正小标宋简体" w:cs="方正小标宋简体" w:hint="eastAsia"/>
          <w:b w:val="0"/>
          <w:bCs w:val="0"/>
          <w:sz w:val="32"/>
          <w:szCs w:val="32"/>
          <w:lang w:val="en-US" w:eastAsia="zh-CN"/>
        </w:rPr>
        <w:t>项目实施区域点位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jc w:val="center"/>
        <w:textAlignment w:val="auto"/>
        <w:rPr>
          <w:rFonts w:ascii="仿宋_GB2312" w:eastAsia="仿宋_GB2312" w:hAnsi="仿宋_GB2312" w:cs="仿宋_GB2312" w:hint="eastAsia"/>
          <w:sz w:val="32"/>
          <w:szCs w:val="32"/>
          <w:lang w:val="en-US" w:eastAsia="zh-CN"/>
        </w:rPr>
      </w:pPr>
      <w:r>
        <w:rPr>
          <w:rFonts w:asciiTheme="minorEastAsia" w:hAnsiTheme="minorEastAsia"/>
          <w:sz w:val="28"/>
          <w:szCs w:val="28"/>
          <w:highlight w:val="none"/>
        </w:rPr>
        <w:drawing>
          <wp:inline distT="0" distB="0" distL="114300" distR="114300">
            <wp:extent cx="5228590" cy="2264410"/>
            <wp:effectExtent l="0" t="0" r="10160" b="2540"/>
            <wp:docPr id="10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pic:cNvPicPr>
                  </pic:nvPicPr>
                  <pic:blipFill>
                    <a:blip r:embed="rId4"/>
                    <a:srcRect l="0" t="1651" r="0" b="1624"/>
                    <a:stretch>
                      <a:fillRect/>
                    </a:stretch>
                  </pic:blipFill>
                  <pic:spPr>
                    <a:xfrm>
                      <a:off x="0" y="0"/>
                      <a:ext cx="5228590" cy="22644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t>T2</w:t>
      </w:r>
      <w:r>
        <w:rPr>
          <w:rFonts w:cs="仿宋_GB2312" w:hint="eastAsia"/>
          <w:sz w:val="24"/>
          <w:szCs w:val="24"/>
          <w:lang w:val="en-US" w:eastAsia="zh-CN"/>
        </w:rPr>
        <w:t>两舱</w:t>
      </w:r>
      <w:r>
        <w:rPr>
          <w:rFonts w:ascii="仿宋_GB2312" w:eastAsia="仿宋_GB2312" w:hAnsi="仿宋_GB2312" w:cs="仿宋_GB2312" w:hint="eastAsia"/>
          <w:sz w:val="24"/>
          <w:szCs w:val="24"/>
          <w:lang w:val="en-US" w:eastAsia="zh-CN"/>
        </w:rPr>
        <w:t>休息室平面图（蓝框区域为项目实施点位）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drawing>
          <wp:inline distT="0" distB="0" distL="114300" distR="114300">
            <wp:extent cx="3488690" cy="1822450"/>
            <wp:effectExtent l="0" t="0" r="16510" b="6350"/>
            <wp:docPr id="1029" name="图片 10" descr="fdd2e52793663bf32b15e25595586e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dd2e52793663bf32b15e25595586e5f"/>
                    <pic:cNvPicPr>
                      <a:picLocks noChangeAspect="1"/>
                    </pic:cNvPicPr>
                  </pic:nvPicPr>
                  <pic:blipFill>
                    <a:blip r:embed="rId5"/>
                    <a:srcRect l="0" t="0" r="10934" b="0"/>
                    <a:stretch>
                      <a:fillRect/>
                    </a:stretch>
                  </pic:blipFill>
                  <pic:spPr>
                    <a:xfrm>
                      <a:off x="0" y="0"/>
                      <a:ext cx="3488690" cy="18224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jc w:val="center"/>
        <w:textAlignment w:val="auto"/>
        <w:rPr>
          <w:rFonts w:ascii="仿宋_GB2312" w:eastAsia="仿宋_GB2312" w:hAnsi="仿宋_GB2312" w:cs="仿宋_GB2312" w:hint="eastAsia"/>
          <w:sz w:val="24"/>
          <w:szCs w:val="24"/>
          <w:lang w:val="en-US" w:eastAsia="zh-CN"/>
        </w:rPr>
      </w:pPr>
      <w:r>
        <w:rPr>
          <w:rFonts w:ascii="仿宋_GB2312" w:eastAsia="仿宋_GB2312" w:hAnsi="仿宋_GB2312" w:cs="仿宋_GB2312" w:hint="eastAsia"/>
          <w:sz w:val="24"/>
          <w:szCs w:val="24"/>
          <w:lang w:val="en-US" w:eastAsia="zh-CN"/>
        </w:rPr>
        <w:t>雪茄吧、吸烟室点位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jc w:val="center"/>
        <w:textAlignment w:val="auto"/>
        <w:rPr>
          <w:rFonts w:ascii="仿宋_GB2312" w:eastAsia="仿宋_GB2312" w:hAnsi="仿宋_GB2312" w:cs="仿宋_GB2312" w:hint="default"/>
          <w:sz w:val="24"/>
          <w:szCs w:val="24"/>
          <w:lang w:val="en-US" w:eastAsia="zh-CN"/>
        </w:rPr>
      </w:pPr>
      <w:r>
        <w:rPr>
          <w:rFonts w:ascii="仿宋_GB2312" w:eastAsia="仿宋_GB2312" w:hAnsi="仿宋_GB2312" w:cs="仿宋_GB2312" w:hint="default"/>
          <w:sz w:val="24"/>
          <w:szCs w:val="24"/>
          <w:lang w:val="en-US" w:eastAsia="zh-CN"/>
        </w:rPr>
        <w:drawing>
          <wp:inline distT="0" distB="0" distL="114300" distR="114300">
            <wp:extent cx="3534410" cy="1829435"/>
            <wp:effectExtent l="0" t="0" r="8890" b="18415"/>
            <wp:docPr id="1030" name="图片 12" descr="9684d0f2a5cdd40a4f80e184667c95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9684d0f2a5cdd40a4f80e184667c959f"/>
                    <pic:cNvPicPr>
                      <a:picLocks noChangeAspect="1"/>
                    </pic:cNvPicPr>
                  </pic:nvPicPr>
                  <pic:blipFill>
                    <a:blip r:embed="rId6"/>
                    <a:srcRect l="0" t="0" r="0" b="22104"/>
                    <a:stretch>
                      <a:fillRect/>
                    </a:stretch>
                  </pic:blipFill>
                  <pic:spPr>
                    <a:xfrm>
                      <a:off x="0" y="0"/>
                      <a:ext cx="3534410" cy="1829435"/>
                    </a:xfrm>
                    <a:prstGeom prst="rect">
                      <a:avLst/>
                    </a:prstGeom>
                  </pic:spPr>
                </pic:pic>
              </a:graphicData>
            </a:graphic>
          </wp:inline>
        </w:drawing>
      </w:r>
    </w:p>
    <w:p>
      <w:pPr>
        <w:numPr>
          <w:ilvl w:val="0"/>
          <w:numId w:val="0"/>
        </w:numPr>
        <w:spacing w:line="240" w:lineRule="auto"/>
        <w:ind w:left="0" w:firstLine="480"/>
        <w:jc w:val="center"/>
        <w:rPr>
          <w:rFonts w:cs="仿宋_GB2312" w:hint="eastAsia"/>
          <w:sz w:val="24"/>
          <w:szCs w:val="24"/>
          <w:lang w:val="en-US" w:eastAsia="zh-CN"/>
        </w:rPr>
      </w:pPr>
      <w:r>
        <w:rPr>
          <w:rFonts w:ascii="仿宋_GB2312" w:eastAsia="仿宋_GB2312" w:hAnsi="仿宋_GB2312" w:cs="仿宋_GB2312" w:hint="eastAsia"/>
          <w:sz w:val="24"/>
          <w:szCs w:val="24"/>
          <w:lang w:val="en-US" w:eastAsia="zh-CN"/>
        </w:rPr>
        <w:t>精品雪茄（香烟）展示销售</w:t>
      </w:r>
      <w:r>
        <w:rPr>
          <w:rFonts w:cs="仿宋_GB2312" w:hint="eastAsia"/>
          <w:sz w:val="24"/>
          <w:szCs w:val="24"/>
          <w:lang w:val="en-US" w:eastAsia="zh-CN"/>
        </w:rPr>
        <w:t>区点位</w:t>
      </w:r>
    </w:p>
    <w:p>
      <w:pPr>
        <w:snapToGrid/>
        <w:spacing w:line="240" w:lineRule="auto"/>
        <w:ind w:firstLine="0"/>
        <w:jc w:val="both"/>
        <w:rPr>
          <w:rFonts w:ascii="黑体" w:eastAsia="黑体" w:hAnsi="黑体" w:cs="黑体" w:hint="eastAsia"/>
          <w:i w:val="0"/>
          <w:strike w:val="0"/>
          <w:color w:val="000000"/>
          <w:spacing w:val="0"/>
          <w:sz w:val="28"/>
          <w:szCs w:val="28"/>
          <w:u w:val="none"/>
          <w:lang w:val="en-US" w:eastAsia="zh-CN"/>
        </w:rPr>
      </w:pPr>
      <w:r>
        <w:rPr>
          <w:rFonts w:ascii="黑体" w:eastAsia="黑体" w:hAnsi="黑体" w:cs="黑体" w:hint="eastAsia"/>
          <w:i w:val="0"/>
          <w:strike w:val="0"/>
          <w:color w:val="000000"/>
          <w:spacing w:val="0"/>
          <w:sz w:val="28"/>
          <w:szCs w:val="28"/>
          <w:u w:val="none"/>
          <w:lang w:val="en-US" w:eastAsia="zh-CN"/>
        </w:rPr>
        <w:t>附件7</w:t>
      </w:r>
    </w:p>
    <w:p>
      <w:pPr>
        <w:snapToGrid/>
        <w:spacing w:line="700" w:lineRule="exact"/>
        <w:ind w:firstLine="0"/>
        <w:jc w:val="center"/>
        <w:rPr>
          <w:rFonts w:ascii="方正小标宋_GBK" w:eastAsia="方正小标宋_GBK" w:hAnsi="方正小标宋_GBK" w:cs="方正小标宋_GBK" w:hint="eastAsia"/>
          <w:i w:val="0"/>
          <w:strike w:val="0"/>
          <w:color w:val="000000"/>
          <w:spacing w:val="0"/>
          <w:sz w:val="32"/>
          <w:szCs w:val="32"/>
          <w:u w:val="none"/>
        </w:rPr>
      </w:pPr>
      <w:r>
        <w:rPr>
          <w:rFonts w:ascii="方正小标宋_GBK" w:eastAsia="方正小标宋_GBK" w:hAnsi="方正小标宋_GBK" w:cs="方正小标宋_GBK" w:hint="eastAsia"/>
          <w:i w:val="0"/>
          <w:strike w:val="0"/>
          <w:color w:val="000000"/>
          <w:spacing w:val="0"/>
          <w:sz w:val="32"/>
          <w:szCs w:val="32"/>
          <w:u w:val="none"/>
        </w:rPr>
        <w:t>合作申请书</w:t>
      </w:r>
    </w:p>
    <w:p>
      <w:pPr>
        <w:snapToGrid/>
        <w:spacing w:line="700" w:lineRule="exact"/>
        <w:ind w:firstLine="0"/>
        <w:jc w:val="center"/>
        <w:rPr>
          <w:rFonts w:ascii="方正小标宋_GBK" w:eastAsia="方正小标宋_GBK" w:hAnsi="方正小标宋_GBK" w:cs="方正小标宋_GBK" w:hint="eastAsia"/>
          <w:i w:val="0"/>
          <w:strike w:val="0"/>
          <w:color w:val="000000"/>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致：成都双流国际机场股份有限公司</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为对202</w:t>
      </w:r>
      <w:r>
        <w:rPr>
          <w:rFonts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年 X 月 X 日的《招商公告》表示响应，我们遵照招商文件的条款和条件，递交完全符合招商文件的关于成都双流国际机场T2</w:t>
      </w:r>
      <w:r>
        <w:rPr>
          <w:rFonts w:cs="仿宋_GB2312" w:hint="eastAsia"/>
          <w:i w:val="0"/>
          <w:strike w:val="0"/>
          <w:color w:val="000000"/>
          <w:spacing w:val="0"/>
          <w:sz w:val="28"/>
          <w:szCs w:val="28"/>
          <w:u w:val="none"/>
          <w:lang w:eastAsia="zh-CN"/>
        </w:rPr>
        <w:t>两舱</w:t>
      </w:r>
      <w:r>
        <w:rPr>
          <w:rFonts w:ascii="仿宋_GB2312" w:eastAsia="仿宋_GB2312" w:hAnsi="仿宋_GB2312" w:cs="仿宋_GB2312" w:hint="eastAsia"/>
          <w:i w:val="0"/>
          <w:strike w:val="0"/>
          <w:color w:val="000000"/>
          <w:spacing w:val="0"/>
          <w:sz w:val="28"/>
          <w:szCs w:val="28"/>
          <w:u w:val="none"/>
        </w:rPr>
        <w:t>休息室“自在·茄境”雪茄吧项目的报名文件。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我们确认，我们已仔细阅读并研究了2025年 X 月 X 日发布的招商文件，以及于/年/月/日发出的补充通知书（若有），我们知道必须放弃对上述文件和资料的所有条款提出含糊不清的问题的权利。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我们确认，我们将自行承担因参加本项目的招商活动而发生的任何费用。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我们确认，本报名文件的有效期为自提交报名文件截止日2025年 X 月 X日起的九十（90）天，该</w:t>
      </w:r>
      <w:r>
        <w:rPr>
          <w:rFonts w:cs="仿宋_GB2312" w:hint="eastAsia"/>
          <w:i w:val="0"/>
          <w:strike w:val="0"/>
          <w:color w:val="000000"/>
          <w:spacing w:val="0"/>
          <w:sz w:val="28"/>
          <w:szCs w:val="28"/>
          <w:u w:val="none"/>
          <w:lang w:eastAsia="zh-CN"/>
        </w:rPr>
        <w:t>期限</w:t>
      </w:r>
      <w:r>
        <w:rPr>
          <w:rFonts w:ascii="仿宋_GB2312" w:eastAsia="仿宋_GB2312" w:hAnsi="仿宋_GB2312" w:cs="仿宋_GB2312" w:hint="eastAsia"/>
          <w:i w:val="0"/>
          <w:strike w:val="0"/>
          <w:color w:val="000000"/>
          <w:spacing w:val="0"/>
          <w:sz w:val="28"/>
          <w:szCs w:val="28"/>
          <w:u w:val="none"/>
        </w:rPr>
        <w:t>可以延长，在任何延长期内，我们的报名文件对我们仍有约束力。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我们确认，我们完全同意招商文件制定的招商规则，并承诺按照这些规则履行我们的所有义务，包括：一旦报名文件被贵方接受，将按照招商文件要求和我们在报名文件中的承诺履行我们的义务。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highlight w:val="none"/>
        </w:rPr>
      </w:pPr>
      <w:r>
        <w:rPr>
          <w:rFonts w:ascii="仿宋_GB2312" w:eastAsia="仿宋_GB2312" w:hAnsi="仿宋_GB2312"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我们确认，贵方有</w:t>
      </w:r>
      <w:r>
        <w:rPr>
          <w:rFonts w:cs="仿宋_GB2312" w:hint="eastAsia"/>
          <w:i w:val="0"/>
          <w:strike w:val="0"/>
          <w:color w:val="000000"/>
          <w:spacing w:val="0"/>
          <w:sz w:val="28"/>
          <w:szCs w:val="28"/>
          <w:u w:val="none"/>
          <w:lang w:eastAsia="zh-CN"/>
        </w:rPr>
        <w:t>权</w:t>
      </w:r>
      <w:r>
        <w:rPr>
          <w:rFonts w:ascii="仿宋_GB2312" w:eastAsia="仿宋_GB2312" w:hAnsi="仿宋_GB2312" w:cs="仿宋_GB2312" w:hint="eastAsia"/>
          <w:i w:val="0"/>
          <w:strike w:val="0"/>
          <w:color w:val="000000"/>
          <w:spacing w:val="0"/>
          <w:sz w:val="28"/>
          <w:szCs w:val="28"/>
          <w:u w:val="none"/>
        </w:rPr>
        <w:t>根据招商文件的有关规定，没收我方的</w:t>
      </w:r>
      <w:r>
        <w:rPr>
          <w:rFonts w:ascii="仿宋_GB2312" w:eastAsia="仿宋_GB2312" w:hAnsi="仿宋_GB2312" w:cs="仿宋_GB2312" w:hint="eastAsia"/>
          <w:i w:val="0"/>
          <w:strike w:val="0"/>
          <w:color w:val="000000"/>
          <w:spacing w:val="0"/>
          <w:sz w:val="28"/>
          <w:szCs w:val="28"/>
          <w:highlight w:val="none"/>
          <w:u w:val="none"/>
        </w:rPr>
        <w:t>签约及履约保证金。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7.</w:t>
      </w:r>
      <w:r>
        <w:rPr>
          <w:rFonts w:ascii="仿宋_GB2312" w:eastAsia="仿宋_GB2312" w:hAnsi="仿宋_GB2312" w:cs="仿宋_GB2312" w:hint="eastAsia"/>
          <w:i w:val="0"/>
          <w:strike w:val="0"/>
          <w:color w:val="000000"/>
          <w:spacing w:val="0"/>
          <w:sz w:val="28"/>
          <w:szCs w:val="28"/>
          <w:u w:val="none"/>
        </w:rPr>
        <w:t>在签署成都双流国际机场《</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000000"/>
          <w:spacing w:val="0"/>
          <w:sz w:val="28"/>
          <w:szCs w:val="28"/>
          <w:u w:val="none"/>
        </w:rPr>
        <w:t>》及协议附件以前，本报名文件对我们有约束。我们同意贵方不一定接受我们的报名文件或接受任何一份报名文件的约束，并不需对此</w:t>
      </w:r>
      <w:r>
        <w:rPr>
          <w:rFonts w:cs="仿宋_GB2312" w:hint="eastAsia"/>
          <w:i w:val="0"/>
          <w:strike w:val="0"/>
          <w:color w:val="000000"/>
          <w:spacing w:val="0"/>
          <w:sz w:val="28"/>
          <w:szCs w:val="28"/>
          <w:u w:val="none"/>
          <w:lang w:eastAsia="zh-CN"/>
        </w:rPr>
        <w:t>做任何解释</w:t>
      </w:r>
      <w:r>
        <w:rPr>
          <w:rFonts w:ascii="仿宋_GB2312" w:eastAsia="仿宋_GB2312" w:hAnsi="仿宋_GB2312" w:cs="仿宋_GB2312" w:hint="eastAsia"/>
          <w:i w:val="0"/>
          <w:strike w:val="0"/>
          <w:color w:val="000000"/>
          <w:spacing w:val="0"/>
          <w:sz w:val="28"/>
          <w:szCs w:val="28"/>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i w:val="0"/>
          <w:strike w:val="0"/>
          <w:color w:val="auto"/>
          <w:spacing w:val="0"/>
          <w:sz w:val="28"/>
          <w:szCs w:val="28"/>
          <w:u w:val="none"/>
        </w:rPr>
      </w:pPr>
      <w:r>
        <w:rPr>
          <w:rFonts w:ascii="仿宋_GB2312" w:eastAsia="仿宋_GB2312" w:hAnsi="仿宋_GB2312" w:cs="仿宋_GB2312" w:hint="eastAsia"/>
          <w:i w:val="0"/>
          <w:strike w:val="0"/>
          <w:color w:val="auto"/>
          <w:spacing w:val="0"/>
          <w:sz w:val="28"/>
          <w:szCs w:val="28"/>
          <w:u w:val="none"/>
          <w:lang w:val="en-US" w:eastAsia="zh-CN"/>
        </w:rPr>
        <w:t>8.</w:t>
      </w:r>
      <w:r>
        <w:rPr>
          <w:rFonts w:ascii="仿宋_GB2312" w:eastAsia="仿宋_GB2312" w:hAnsi="仿宋_GB2312" w:cs="仿宋_GB2312" w:hint="eastAsia"/>
          <w:i w:val="0"/>
          <w:strike w:val="0"/>
          <w:color w:val="auto"/>
          <w:spacing w:val="0"/>
          <w:sz w:val="28"/>
          <w:szCs w:val="28"/>
          <w:u w:val="none"/>
        </w:rPr>
        <w:t>我们接受成都双流国际机场《</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auto"/>
          <w:spacing w:val="0"/>
          <w:sz w:val="28"/>
          <w:szCs w:val="28"/>
          <w:u w:val="none"/>
        </w:rPr>
        <w:t>》及</w:t>
      </w:r>
      <w:r>
        <w:rPr>
          <w:rFonts w:cs="仿宋_GB2312" w:hint="eastAsia"/>
          <w:i w:val="0"/>
          <w:strike w:val="0"/>
          <w:color w:val="auto"/>
          <w:spacing w:val="0"/>
          <w:sz w:val="28"/>
          <w:szCs w:val="28"/>
          <w:u w:val="none"/>
          <w:lang w:val="en-US" w:eastAsia="zh-CN"/>
        </w:rPr>
        <w:t>协议</w:t>
      </w:r>
      <w:r>
        <w:rPr>
          <w:rFonts w:ascii="仿宋_GB2312" w:eastAsia="仿宋_GB2312" w:hAnsi="仿宋_GB2312" w:cs="仿宋_GB2312" w:hint="eastAsia"/>
          <w:i w:val="0"/>
          <w:strike w:val="0"/>
          <w:color w:val="auto"/>
          <w:spacing w:val="0"/>
          <w:sz w:val="28"/>
          <w:szCs w:val="28"/>
          <w:u w:val="none"/>
        </w:rPr>
        <w:t>附件中的条款和条件，并将严格履行。</w:t>
      </w:r>
    </w:p>
    <w:p>
      <w:pPr>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9.</w:t>
      </w:r>
      <w:r>
        <w:rPr>
          <w:rFonts w:ascii="仿宋_GB2312" w:eastAsia="仿宋_GB2312" w:hAnsi="仿宋_GB2312" w:cs="仿宋_GB2312" w:hint="eastAsia"/>
          <w:i w:val="0"/>
          <w:strike w:val="0"/>
          <w:color w:val="000000"/>
          <w:spacing w:val="0"/>
          <w:sz w:val="28"/>
          <w:szCs w:val="28"/>
          <w:u w:val="none"/>
        </w:rPr>
        <w:t>我们在此保证，本报名文件的所有内容均属独立完成，未经与其他有希望的报名人以限制本项目竞争力为目的进行协商、合作或达成谅解后完成。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ascii="仿宋_GB2312" w:eastAsia="仿宋_GB2312" w:hAnsi="仿宋_GB2312" w:cs="仿宋_GB2312" w:hint="eastAsia"/>
          <w:i w:val="0"/>
          <w:strike w:val="0"/>
          <w:color w:val="000000"/>
          <w:spacing w:val="0"/>
          <w:sz w:val="28"/>
          <w:szCs w:val="28"/>
          <w:u w:val="none"/>
          <w:lang w:val="en-US" w:eastAsia="zh-CN"/>
        </w:rPr>
        <w:t>10.</w:t>
      </w:r>
      <w:r>
        <w:rPr>
          <w:rFonts w:ascii="仿宋_GB2312" w:eastAsia="仿宋_GB2312" w:hAnsi="仿宋_GB2312" w:cs="仿宋_GB2312" w:hint="eastAsia"/>
          <w:i w:val="0"/>
          <w:strike w:val="0"/>
          <w:color w:val="000000"/>
          <w:spacing w:val="0"/>
          <w:sz w:val="28"/>
          <w:szCs w:val="28"/>
          <w:u w:val="none"/>
        </w:rPr>
        <w:t>我们证实，本合作申请书是我方报名文件的组成部分，我方保证对本报名文件中的陈述、财务报表等资料的完整性、准确性、真实性完全负责。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与</w:t>
      </w:r>
      <w:r>
        <w:rPr>
          <w:rFonts w:cs="仿宋_GB2312" w:hint="eastAsia"/>
          <w:i w:val="0"/>
          <w:strike w:val="0"/>
          <w:color w:val="000000"/>
          <w:spacing w:val="0"/>
          <w:sz w:val="28"/>
          <w:szCs w:val="28"/>
          <w:u w:val="none"/>
          <w:lang w:eastAsia="zh-CN"/>
        </w:rPr>
        <w:t>本次</w:t>
      </w:r>
      <w:r>
        <w:rPr>
          <w:rFonts w:ascii="仿宋_GB2312" w:eastAsia="仿宋_GB2312" w:hAnsi="仿宋_GB2312" w:cs="仿宋_GB2312" w:hint="eastAsia"/>
          <w:i w:val="0"/>
          <w:strike w:val="0"/>
          <w:color w:val="000000"/>
          <w:spacing w:val="0"/>
          <w:sz w:val="28"/>
          <w:szCs w:val="28"/>
          <w:u w:val="none"/>
        </w:rPr>
        <w:t>招商有关的正式通讯地址：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人名称：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办公地址：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电话号码：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电子邮件地址：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微信联系方式：</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账户名称：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账号：</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开户行：</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 xml:space="preserve">                         响应</w:t>
      </w:r>
      <w:r>
        <w:rPr>
          <w:rFonts w:ascii="仿宋_GB2312" w:eastAsia="仿宋_GB2312" w:hAnsi="仿宋_GB2312" w:cs="仿宋_GB2312" w:hint="eastAsia"/>
          <w:i w:val="0"/>
          <w:strike w:val="0"/>
          <w:color w:val="000000"/>
          <w:spacing w:val="0"/>
          <w:sz w:val="28"/>
          <w:szCs w:val="28"/>
          <w:u w:val="none"/>
        </w:rPr>
        <w:t>人法定代表人签字：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或</w:t>
      </w: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人公章：</w:t>
      </w:r>
    </w:p>
    <w:p>
      <w:pPr>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392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 xml:space="preserve">日期：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年</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 月</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 日</w:t>
      </w: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240" w:lineRule="auto"/>
        <w:ind w:firstLine="0"/>
        <w:rPr>
          <w:sz w:val="28"/>
          <w:szCs w:val="28"/>
        </w:rPr>
      </w:pPr>
    </w:p>
    <w:p>
      <w:pPr>
        <w:snapToGrid/>
        <w:spacing w:line="240" w:lineRule="auto"/>
        <w:ind w:firstLine="0"/>
        <w:rPr>
          <w:sz w:val="28"/>
          <w:szCs w:val="28"/>
        </w:rPr>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numPr>
          <w:ilvl w:val="0"/>
          <w:numId w:val="0"/>
        </w:numPr>
        <w:spacing w:line="240" w:lineRule="auto"/>
        <w:ind w:left="0" w:firstLine="480"/>
        <w:jc w:val="center"/>
        <w:rPr>
          <w:rFonts w:cs="仿宋_GB2312" w:hint="default"/>
          <w:sz w:val="24"/>
          <w:szCs w:val="24"/>
          <w:lang w:val="en-US" w:eastAsia="zh-CN"/>
        </w:rPr>
        <w:sectPr>
          <w:pgSz w:w="11906" w:h="16838"/>
          <w:pgMar w:top="2098" w:right="1474" w:bottom="1984" w:left="1587" w:header="851" w:footer="992" w:gutter="0"/>
          <w:pgNumType w:fmt="numberInDash"/>
          <w:cols w:num="1" w:space="0"/>
          <w:rtlGutter w:val="0"/>
          <w:docGrid w:type="lines" w:linePitch="439" w:charSpace="0"/>
        </w:sectPr>
      </w:pPr>
    </w:p>
    <w:p>
      <w:pPr>
        <w:ind w:firstLine="0"/>
        <w:jc w:val="both"/>
        <w:rPr>
          <w:rFonts w:ascii="黑体" w:eastAsia="黑体" w:hAnsi="黑体" w:cs="黑体" w:hint="eastAsia"/>
          <w:b w:val="0"/>
          <w:bCs/>
          <w:color w:val="000000"/>
          <w:sz w:val="28"/>
          <w:szCs w:val="28"/>
        </w:rPr>
      </w:pPr>
      <w:r>
        <w:rPr>
          <w:rFonts w:ascii="黑体" w:eastAsia="黑体" w:hAnsi="黑体" w:cs="黑体" w:hint="eastAsia"/>
          <w:b w:val="0"/>
          <w:bCs/>
          <w:color w:val="000000"/>
          <w:sz w:val="28"/>
          <w:szCs w:val="28"/>
        </w:rPr>
        <w:t>附件8</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_GBK" w:eastAsia="方正小标宋_GBK" w:hAnsi="方正小标宋_GBK" w:cs="方正小标宋_GBK" w:hint="eastAsia"/>
          <w:i w:val="0"/>
          <w:strike w:val="0"/>
          <w:color w:val="000000"/>
          <w:spacing w:val="0"/>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i w:val="0"/>
          <w:strike w:val="0"/>
          <w:color w:val="000000"/>
          <w:spacing w:val="0"/>
          <w:sz w:val="32"/>
          <w:szCs w:val="32"/>
          <w:highlight w:val="none"/>
          <w:u w:val="none"/>
        </w:rPr>
      </w:pPr>
      <w:r>
        <w:rPr>
          <w:rFonts w:ascii="方正小标宋简体" w:eastAsia="方正小标宋简体" w:hAnsi="方正小标宋简体" w:cs="方正小标宋简体" w:hint="eastAsia"/>
          <w:i w:val="0"/>
          <w:strike w:val="0"/>
          <w:color w:val="000000"/>
          <w:spacing w:val="0"/>
          <w:sz w:val="32"/>
          <w:szCs w:val="32"/>
          <w:highlight w:val="none"/>
          <w:u w:val="none"/>
        </w:rPr>
        <w:t>符合报名条件承诺书</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我公司本着诚实守信的原则，承诺如下：</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银行资信证明中无不良记录；</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未发生过重大群体性事件等影响社会稳定的敏感性事件；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未在运营中发生过安全事故（火灾、群体性食物中毒事故等）；</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未发生过售卖的商品、食品质量问题等严重负面影响事件；</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未被列为严重违法失信企业名单；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符合本次招商要求的相应资格条件。</w:t>
      </w:r>
    </w:p>
    <w:p>
      <w:pPr>
        <w:keepNext w:val="0"/>
        <w:keepLines w:val="0"/>
        <w:pageBreakBefore w:val="0"/>
        <w:widowControl w:val="0"/>
        <w:kinsoku/>
        <w:wordWrap/>
        <w:overflowPunct/>
        <w:topLinePunct w:val="0"/>
        <w:autoSpaceDE/>
        <w:autoSpaceDN/>
        <w:bidi w:val="0"/>
        <w:adjustRightInd/>
        <w:snapToGrid/>
        <w:spacing w:line="560" w:lineRule="exact"/>
        <w:ind w:firstLine="0"/>
        <w:jc w:val="right"/>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jc w:val="right"/>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0"/>
        <w:jc w:val="right"/>
        <w:textAlignment w:val="auto"/>
        <w:rPr>
          <w:rFonts w:ascii="仿宋_GB2312" w:eastAsia="仿宋_GB2312" w:hAnsi="仿宋_GB2312" w:cs="仿宋_GB2312" w:hint="default"/>
          <w:i w:val="0"/>
          <w:strike w:val="0"/>
          <w:color w:val="000000"/>
          <w:spacing w:val="0"/>
          <w:sz w:val="28"/>
          <w:szCs w:val="28"/>
          <w:u w:val="none"/>
          <w:lang w:val="en-US" w:eastAsia="zh-CN"/>
        </w:rPr>
      </w:pPr>
      <w:r>
        <w:rPr>
          <w:rFonts w:ascii="仿宋_GB2312" w:eastAsia="仿宋_GB2312" w:hAnsi="仿宋_GB2312" w:cs="仿宋_GB2312" w:hint="eastAsia"/>
          <w:i w:val="0"/>
          <w:strike w:val="0"/>
          <w:color w:val="000000"/>
          <w:spacing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承诺单位：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（公司鲜章）</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sz w:val="28"/>
          <w:szCs w:val="28"/>
        </w:rPr>
      </w:pPr>
      <w:r>
        <w:rPr>
          <w:rFonts w:ascii="仿宋_GB2312" w:eastAsia="仿宋_GB2312" w:hAnsi="仿宋_GB2312" w:cs="仿宋_GB2312" w:hint="eastAsia"/>
          <w:i w:val="0"/>
          <w:strike w:val="0"/>
          <w:color w:val="000000"/>
          <w:spacing w:val="0"/>
          <w:sz w:val="28"/>
          <w:szCs w:val="28"/>
          <w:u w:val="none"/>
        </w:rPr>
        <w:t xml:space="preserve">日期：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年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月</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 日</w:t>
      </w:r>
    </w:p>
    <w:p>
      <w:pPr>
        <w:jc w:val="both"/>
        <w:rPr>
          <w:b/>
          <w:color w:val="000000"/>
          <w:sz w:val="34"/>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pPr>
    </w:p>
    <w:p>
      <w:pPr>
        <w:numPr>
          <w:ilvl w:val="0"/>
          <w:numId w:val="0"/>
        </w:numPr>
        <w:spacing w:line="240" w:lineRule="auto"/>
        <w:ind w:left="0" w:firstLine="0"/>
        <w:jc w:val="both"/>
        <w:rPr>
          <w:rFonts w:cs="仿宋_GB2312" w:hint="default"/>
          <w:sz w:val="24"/>
          <w:szCs w:val="24"/>
          <w:lang w:val="en-US" w:eastAsia="zh-CN"/>
        </w:rPr>
        <w:sectPr>
          <w:pgSz w:w="11906" w:h="16838"/>
          <w:pgMar w:top="2098" w:right="1474" w:bottom="1984" w:left="1587" w:header="851" w:footer="992" w:gutter="0"/>
          <w:pgNumType w:fmt="numberInDash"/>
          <w:cols w:num="1" w:space="0"/>
          <w:rtlGutter w:val="0"/>
          <w:docGrid w:type="lines" w:linePitch="439" w:charSpace="0"/>
        </w:sectPr>
      </w:pPr>
    </w:p>
    <w:p>
      <w:pPr>
        <w:ind w:firstLine="0"/>
        <w:jc w:val="both"/>
        <w:rPr>
          <w:rFonts w:ascii="黑体" w:eastAsia="黑体" w:hAnsi="黑体" w:cs="黑体" w:hint="eastAsia"/>
          <w:b w:val="0"/>
          <w:bCs/>
          <w:color w:val="000000"/>
          <w:sz w:val="28"/>
          <w:szCs w:val="28"/>
          <w:lang w:eastAsia="zh-CN"/>
        </w:rPr>
      </w:pPr>
      <w:r>
        <w:rPr>
          <w:rFonts w:ascii="黑体" w:eastAsia="黑体" w:hAnsi="黑体" w:cs="黑体" w:hint="eastAsia"/>
          <w:b w:val="0"/>
          <w:bCs/>
          <w:color w:val="000000"/>
          <w:sz w:val="28"/>
          <w:szCs w:val="28"/>
        </w:rPr>
        <w:t>附件9</w:t>
      </w:r>
      <w:r>
        <w:rPr>
          <w:rFonts w:ascii="黑体" w:eastAsia="黑体" w:hAnsi="黑体" w:cs="黑体" w:hint="eastAsia"/>
          <w:b w:val="0"/>
          <w:bCs/>
          <w:color w:val="000000"/>
          <w:sz w:val="28"/>
          <w:szCs w:val="28"/>
          <w:lang w:eastAsia="zh-CN"/>
        </w:rPr>
        <w:t>：</w:t>
      </w:r>
    </w:p>
    <w:p>
      <w:pPr>
        <w:snapToGrid/>
        <w:spacing w:line="700" w:lineRule="exact"/>
        <w:ind w:firstLine="0"/>
        <w:jc w:val="center"/>
        <w:rPr>
          <w:rFonts w:ascii="方正小标宋_GBK" w:eastAsia="方正小标宋_GBK" w:hAnsi="方正小标宋_GBK" w:cs="方正小标宋_GBK" w:hint="eastAsia"/>
          <w:b w:val="0"/>
          <w:bCs/>
          <w:i w:val="0"/>
          <w:strike w:val="0"/>
          <w:color w:val="000000"/>
          <w:spacing w:val="0"/>
          <w:sz w:val="32"/>
          <w:szCs w:val="32"/>
          <w:u w:val="none"/>
        </w:rPr>
      </w:pPr>
      <w:r>
        <w:rPr>
          <w:rFonts w:ascii="方正小标宋_GBK" w:eastAsia="方正小标宋_GBK" w:hAnsi="方正小标宋_GBK" w:cs="方正小标宋_GBK" w:hint="eastAsia"/>
          <w:b w:val="0"/>
          <w:bCs/>
          <w:i w:val="0"/>
          <w:strike w:val="0"/>
          <w:color w:val="000000"/>
          <w:spacing w:val="0"/>
          <w:sz w:val="32"/>
          <w:szCs w:val="32"/>
          <w:u w:val="none"/>
        </w:rPr>
        <w:t>工作人员要求</w:t>
      </w:r>
    </w:p>
    <w:p>
      <w:pPr>
        <w:snapToGrid/>
        <w:spacing w:line="700" w:lineRule="exact"/>
        <w:ind w:firstLine="0"/>
        <w:jc w:val="both"/>
        <w:rPr>
          <w:rFonts w:ascii="方正小标宋_GBK" w:eastAsia="方正小标宋_GBK" w:hAnsi="方正小标宋_GBK" w:cs="方正小标宋_GBK" w:hint="eastAsia"/>
          <w:b/>
          <w:i w:val="0"/>
          <w:strike w:val="0"/>
          <w:color w:val="000000"/>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乙方工作人员符合下列条件，并</w:t>
      </w:r>
      <w:r>
        <w:rPr>
          <w:rFonts w:cs="仿宋_GB2312" w:hint="eastAsia"/>
          <w:i w:val="0"/>
          <w:strike w:val="0"/>
          <w:color w:val="000000"/>
          <w:spacing w:val="0"/>
          <w:sz w:val="28"/>
          <w:szCs w:val="28"/>
          <w:u w:val="none"/>
          <w:lang w:eastAsia="zh-CN"/>
        </w:rPr>
        <w:t>经</w:t>
      </w:r>
      <w:r>
        <w:rPr>
          <w:rFonts w:ascii="仿宋_GB2312" w:eastAsia="仿宋_GB2312" w:hAnsi="仿宋_GB2312" w:cs="仿宋_GB2312" w:hint="eastAsia"/>
          <w:i w:val="0"/>
          <w:strike w:val="0"/>
          <w:color w:val="000000"/>
          <w:spacing w:val="0"/>
          <w:sz w:val="28"/>
          <w:szCs w:val="28"/>
          <w:u w:val="none"/>
        </w:rPr>
        <w:t>甲方进行资格审查合格后，方可进入经营场地工作。工作人员条件为：年</w:t>
      </w:r>
      <w:r>
        <w:rPr>
          <w:rFonts w:cs="仿宋_GB2312" w:hint="eastAsia"/>
          <w:i w:val="0"/>
          <w:strike w:val="0"/>
          <w:color w:val="000000"/>
          <w:spacing w:val="0"/>
          <w:sz w:val="28"/>
          <w:szCs w:val="28"/>
          <w:u w:val="none"/>
          <w:lang w:eastAsia="zh-CN"/>
        </w:rPr>
        <w:t>龄在</w:t>
      </w:r>
      <w:r>
        <w:rPr>
          <w:rFonts w:ascii="仿宋_GB2312" w:eastAsia="仿宋_GB2312" w:hAnsi="仿宋_GB2312" w:cs="仿宋_GB2312" w:hint="eastAsia"/>
          <w:i w:val="0"/>
          <w:strike w:val="0"/>
          <w:color w:val="000000"/>
          <w:spacing w:val="0"/>
          <w:sz w:val="28"/>
          <w:szCs w:val="28"/>
          <w:u w:val="none"/>
        </w:rPr>
        <w:t>35周岁以下，能熟练运用普通话进行沟通</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身体健康，持有效健康证，仪容端庄</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.对待旅客热情、耐心，体现主动服务意识</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品德良好，同时提交无违法犯罪记录证明</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工作人员上岗前须学习甲方下发的服务规范和安全常识的岗前培训资料，同时，乙方还必须定期对其招聘的工作人员自行进行服务、安全、礼仪等方面的培训</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工作人员上岗时统一着装，热情礼貌待客。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7.</w:t>
      </w:r>
      <w:r>
        <w:rPr>
          <w:rFonts w:ascii="仿宋_GB2312" w:eastAsia="仿宋_GB2312" w:hAnsi="仿宋_GB2312" w:cs="仿宋_GB2312" w:hint="eastAsia"/>
          <w:i w:val="0"/>
          <w:strike w:val="0"/>
          <w:color w:val="000000"/>
          <w:spacing w:val="0"/>
          <w:sz w:val="28"/>
          <w:szCs w:val="28"/>
          <w:u w:val="none"/>
        </w:rPr>
        <w:t>工作人员必须严格遵守机场当局及甲方各项规章制度，服从机场公安治安管理，不得利用职务和工作便利进行违法犯罪活动。乙方对其招聘、雇用员工的行为向甲方负责。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8</w:t>
      </w:r>
      <w:r>
        <w:rPr>
          <w:rFonts w:ascii="仿宋_GB2312" w:eastAsia="仿宋_GB2312" w:hAnsi="仿宋_GB2312" w:cs="仿宋_GB2312" w:hint="eastAsia"/>
          <w:i w:val="0"/>
          <w:strike w:val="0"/>
          <w:color w:val="000000"/>
          <w:spacing w:val="0"/>
          <w:sz w:val="28"/>
          <w:szCs w:val="28"/>
          <w:u w:val="none"/>
        </w:rPr>
        <w:t>.必须主动提供消费电子发票。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9</w:t>
      </w:r>
      <w:r>
        <w:rPr>
          <w:rFonts w:ascii="仿宋_GB2312" w:eastAsia="仿宋_GB2312" w:hAnsi="仿宋_GB2312" w:cs="仿宋_GB2312" w:hint="eastAsia"/>
          <w:i w:val="0"/>
          <w:strike w:val="0"/>
          <w:color w:val="000000"/>
          <w:spacing w:val="0"/>
          <w:sz w:val="28"/>
          <w:szCs w:val="28"/>
          <w:u w:val="none"/>
        </w:rPr>
        <w:t>.服务点实行明码标价，并公布服务投诉电话，必须严格按照公示价格收费，不得以任何形式误导或诱导旅客消费及变相收费。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10</w:t>
      </w:r>
      <w:r>
        <w:rPr>
          <w:rFonts w:ascii="仿宋_GB2312" w:eastAsia="仿宋_GB2312" w:hAnsi="仿宋_GB2312" w:cs="仿宋_GB2312" w:hint="eastAsia"/>
          <w:i w:val="0"/>
          <w:strike w:val="0"/>
          <w:color w:val="000000"/>
          <w:spacing w:val="0"/>
          <w:sz w:val="28"/>
          <w:szCs w:val="28"/>
          <w:u w:val="none"/>
        </w:rPr>
        <w:t>.乙方应对其工作人员进行上岗前的安全、技能和服务培训，并定期对工作人员进行服务质量及操作技能培训，并做好</w:t>
      </w:r>
      <w:r>
        <w:rPr>
          <w:rFonts w:cs="仿宋_GB2312" w:hint="eastAsia"/>
          <w:i w:val="0"/>
          <w:strike w:val="0"/>
          <w:color w:val="000000"/>
          <w:spacing w:val="0"/>
          <w:sz w:val="28"/>
          <w:szCs w:val="28"/>
          <w:u w:val="none"/>
          <w:lang w:eastAsia="zh-CN"/>
        </w:rPr>
        <w:t>台账记录</w:t>
      </w:r>
      <w:r>
        <w:rPr>
          <w:rFonts w:ascii="仿宋_GB2312" w:eastAsia="仿宋_GB2312" w:hAnsi="仿宋_GB2312" w:cs="仿宋_GB2312" w:hint="eastAsia"/>
          <w:i w:val="0"/>
          <w:strike w:val="0"/>
          <w:color w:val="000000"/>
          <w:spacing w:val="0"/>
          <w:sz w:val="28"/>
          <w:szCs w:val="28"/>
          <w:u w:val="none"/>
        </w:rPr>
        <w:t>，并承诺对乙方工作人员的管理负有完全责任；乙方应根据甲方要求安排人员准时参加甲方组织的相关培训及会议，不得无故缺席。</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11</w:t>
      </w:r>
      <w:r>
        <w:rPr>
          <w:rFonts w:ascii="仿宋_GB2312" w:eastAsia="仿宋_GB2312" w:hAnsi="仿宋_GB2312" w:cs="仿宋_GB2312" w:hint="eastAsia"/>
          <w:i w:val="0"/>
          <w:strike w:val="0"/>
          <w:color w:val="000000"/>
          <w:spacing w:val="0"/>
          <w:sz w:val="28"/>
          <w:szCs w:val="28"/>
          <w:u w:val="none"/>
        </w:rPr>
        <w:t>.工作人员应熟悉民航运输相关规定和机场相关管理规定及作业流程，在提供服务前必须询问并提醒旅客。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12</w:t>
      </w:r>
      <w:r>
        <w:rPr>
          <w:rFonts w:ascii="仿宋_GB2312" w:eastAsia="仿宋_GB2312" w:hAnsi="仿宋_GB2312" w:cs="仿宋_GB2312" w:hint="eastAsia"/>
          <w:i w:val="0"/>
          <w:strike w:val="0"/>
          <w:color w:val="000000"/>
          <w:spacing w:val="0"/>
          <w:sz w:val="28"/>
          <w:szCs w:val="28"/>
          <w:u w:val="none"/>
        </w:rPr>
        <w:t>.如乙方服务质量、管理能力无法达到甲方服务和管理标准，经整改后仍无法满足要求的，甲方有权终止合同，</w:t>
      </w:r>
      <w:r>
        <w:rPr>
          <w:rFonts w:cs="仿宋_GB2312" w:hint="eastAsia"/>
          <w:i w:val="0"/>
          <w:strike w:val="0"/>
          <w:color w:val="000000"/>
          <w:spacing w:val="0"/>
          <w:sz w:val="28"/>
          <w:szCs w:val="28"/>
          <w:u w:val="none"/>
          <w:lang w:val="en-US" w:eastAsia="zh-CN"/>
        </w:rPr>
        <w:t>本协议中产生的相关</w:t>
      </w:r>
      <w:r>
        <w:rPr>
          <w:rFonts w:ascii="仿宋_GB2312" w:eastAsia="仿宋_GB2312" w:hAnsi="仿宋_GB2312" w:cs="仿宋_GB2312" w:hint="eastAsia"/>
          <w:i w:val="0"/>
          <w:strike w:val="0"/>
          <w:color w:val="000000"/>
          <w:spacing w:val="0"/>
          <w:sz w:val="28"/>
          <w:szCs w:val="28"/>
          <w:u w:val="none"/>
        </w:rPr>
        <w:t>费用按实结算，并扣除履约保证金。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13</w:t>
      </w:r>
      <w:r>
        <w:rPr>
          <w:rFonts w:ascii="仿宋_GB2312" w:eastAsia="仿宋_GB2312" w:hAnsi="仿宋_GB2312" w:cs="仿宋_GB2312" w:hint="eastAsia"/>
          <w:i w:val="0"/>
          <w:strike w:val="0"/>
          <w:color w:val="000000"/>
          <w:spacing w:val="0"/>
          <w:sz w:val="28"/>
          <w:szCs w:val="28"/>
          <w:u w:val="none"/>
        </w:rPr>
        <w:t>.乙方在合同签订之日必须同时签订《服务质量承诺书》在合约期间无法兑现向甲方承诺的服务质量和管理标准，经整改后仍无法满足要求的，甲方有权终止合同，</w:t>
      </w:r>
      <w:r>
        <w:rPr>
          <w:rFonts w:cs="仿宋_GB2312" w:hint="eastAsia"/>
          <w:i w:val="0"/>
          <w:strike w:val="0"/>
          <w:color w:val="000000"/>
          <w:spacing w:val="0"/>
          <w:sz w:val="28"/>
          <w:szCs w:val="28"/>
          <w:u w:val="none"/>
          <w:lang w:val="en-US" w:eastAsia="zh-CN"/>
        </w:rPr>
        <w:t>本协议中产生的相关</w:t>
      </w:r>
      <w:r>
        <w:rPr>
          <w:rFonts w:ascii="仿宋_GB2312" w:eastAsia="仿宋_GB2312" w:hAnsi="仿宋_GB2312" w:cs="仿宋_GB2312" w:hint="eastAsia"/>
          <w:i w:val="0"/>
          <w:strike w:val="0"/>
          <w:color w:val="000000"/>
          <w:spacing w:val="0"/>
          <w:sz w:val="28"/>
          <w:szCs w:val="28"/>
          <w:u w:val="none"/>
        </w:rPr>
        <w:t>费用按实结算，并扣除履约保证金。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14</w:t>
      </w:r>
      <w:r>
        <w:rPr>
          <w:rFonts w:ascii="仿宋_GB2312" w:eastAsia="仿宋_GB2312" w:hAnsi="仿宋_GB2312" w:cs="仿宋_GB2312" w:hint="eastAsia"/>
          <w:i w:val="0"/>
          <w:strike w:val="0"/>
          <w:color w:val="000000"/>
          <w:spacing w:val="0"/>
          <w:sz w:val="28"/>
          <w:szCs w:val="28"/>
          <w:u w:val="none"/>
        </w:rPr>
        <w:t>.在营业时间内服务点位不得出现人员脱岗现象，确保服务的持续性。</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15</w:t>
      </w:r>
      <w:r>
        <w:rPr>
          <w:rFonts w:ascii="仿宋_GB2312" w:eastAsia="仿宋_GB2312" w:hAnsi="仿宋_GB2312" w:cs="仿宋_GB2312" w:hint="eastAsia"/>
          <w:i w:val="0"/>
          <w:strike w:val="0"/>
          <w:color w:val="000000"/>
          <w:spacing w:val="0"/>
          <w:sz w:val="28"/>
          <w:szCs w:val="28"/>
          <w:u w:val="none"/>
        </w:rPr>
        <w:t>.遇航班大面积延误等其他应急情况，必须响应甲方应急预案职责要求，对现场发生的异常情况及时汇报甲方，并协助甲方处理相关事宜。</w:t>
      </w: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sectPr>
          <w:pgSz w:w="11906" w:h="16838"/>
          <w:pgMar w:top="2098" w:right="1474" w:bottom="1984" w:left="1587" w:header="851" w:footer="992" w:gutter="0"/>
          <w:pgNumType w:fmt="numberInDash"/>
          <w:cols w:num="1" w:space="0"/>
          <w:rtlGutter w:val="0"/>
          <w:docGrid w:type="lines" w:linePitch="439" w:charSpace="0"/>
        </w:sectPr>
      </w:pPr>
    </w:p>
    <w:p>
      <w:pPr>
        <w:snapToGrid/>
        <w:spacing w:line="240" w:lineRule="auto"/>
        <w:ind w:firstLine="0"/>
        <w:jc w:val="left"/>
        <w:rPr>
          <w:rFonts w:ascii="黑体" w:eastAsia="黑体" w:hAnsi="黑体" w:cs="黑体" w:hint="eastAsia"/>
          <w:b w:val="0"/>
          <w:bCs/>
          <w:i w:val="0"/>
          <w:strike w:val="0"/>
          <w:color w:val="000000"/>
          <w:spacing w:val="0"/>
          <w:sz w:val="28"/>
          <w:szCs w:val="28"/>
          <w:u w:val="none"/>
          <w:lang w:val="en-US" w:eastAsia="zh-CN"/>
        </w:rPr>
      </w:pPr>
      <w:r>
        <w:rPr>
          <w:rFonts w:ascii="黑体" w:eastAsia="黑体" w:hAnsi="黑体" w:cs="黑体" w:hint="eastAsia"/>
          <w:b w:val="0"/>
          <w:bCs/>
          <w:i w:val="0"/>
          <w:strike w:val="0"/>
          <w:color w:val="000000"/>
          <w:spacing w:val="0"/>
          <w:sz w:val="28"/>
          <w:szCs w:val="28"/>
          <w:u w:val="none"/>
          <w:lang w:val="en-US" w:eastAsia="zh-CN"/>
        </w:rPr>
        <w:t>附件10：</w:t>
      </w:r>
    </w:p>
    <w:p>
      <w:pPr>
        <w:snapToGrid/>
        <w:spacing w:line="240" w:lineRule="auto"/>
        <w:ind w:firstLine="0"/>
        <w:jc w:val="left"/>
        <w:rPr>
          <w:rFonts w:ascii="黑体" w:eastAsia="黑体" w:hAnsi="黑体" w:cs="黑体" w:hint="eastAsia"/>
          <w:b w:val="0"/>
          <w:bCs/>
          <w:i w:val="0"/>
          <w:strike w:val="0"/>
          <w:color w:val="000000"/>
          <w:spacing w:val="0"/>
          <w:sz w:val="32"/>
          <w:szCs w:val="32"/>
          <w:u w:val="none"/>
          <w:lang w:val="en-US" w:eastAsia="zh-CN"/>
        </w:rPr>
      </w:pPr>
    </w:p>
    <w:p>
      <w:pPr>
        <w:snapToGrid/>
        <w:spacing w:line="700" w:lineRule="exact"/>
        <w:ind w:firstLine="0"/>
        <w:jc w:val="center"/>
        <w:rPr>
          <w:rFonts w:ascii="方正小标宋_GBK" w:eastAsia="方正小标宋_GBK" w:hAnsi="方正小标宋_GBK" w:cs="方正小标宋_GBK" w:hint="eastAsia"/>
          <w:b w:val="0"/>
          <w:bCs/>
          <w:i w:val="0"/>
          <w:strike w:val="0"/>
          <w:color w:val="000000"/>
          <w:spacing w:val="0"/>
          <w:sz w:val="32"/>
          <w:szCs w:val="32"/>
          <w:u w:val="none"/>
        </w:rPr>
      </w:pPr>
      <w:r>
        <w:rPr>
          <w:rFonts w:ascii="方正小标宋_GBK" w:eastAsia="方正小标宋_GBK" w:hAnsi="方正小标宋_GBK" w:cs="方正小标宋_GBK" w:hint="eastAsia"/>
          <w:b w:val="0"/>
          <w:bCs/>
          <w:i w:val="0"/>
          <w:strike w:val="0"/>
          <w:color w:val="000000"/>
          <w:spacing w:val="0"/>
          <w:sz w:val="32"/>
          <w:szCs w:val="32"/>
          <w:u w:val="none"/>
        </w:rPr>
        <w:t>服务质量承诺书</w:t>
      </w:r>
    </w:p>
    <w:p>
      <w:pPr>
        <w:snapToGrid/>
        <w:spacing w:line="700" w:lineRule="exact"/>
        <w:ind w:firstLine="0"/>
        <w:jc w:val="center"/>
        <w:rPr>
          <w:rFonts w:ascii="方正小标宋_GBK" w:eastAsia="方正小标宋_GBK" w:hAnsi="方正小标宋_GBK" w:cs="方正小标宋_GBK" w:hint="eastAsia"/>
          <w:b/>
          <w:i w:val="0"/>
          <w:strike w:val="0"/>
          <w:color w:val="000000"/>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成都双流国际机场股份有限公司：</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我</w:t>
      </w:r>
      <w:r>
        <w:rPr>
          <w:rFonts w:cs="仿宋_GB2312" w:hint="eastAsia"/>
          <w:i w:val="0"/>
          <w:strike w:val="0"/>
          <w:color w:val="000000"/>
          <w:spacing w:val="0"/>
          <w:sz w:val="28"/>
          <w:szCs w:val="28"/>
          <w:u w:val="none"/>
          <w:lang w:val="en-US" w:eastAsia="zh-CN"/>
        </w:rPr>
        <w:t>司</w:t>
      </w:r>
      <w:r>
        <w:rPr>
          <w:rFonts w:ascii="仿宋_GB2312" w:eastAsia="仿宋_GB2312" w:hAnsi="仿宋_GB2312" w:cs="仿宋_GB2312" w:hint="eastAsia"/>
          <w:i w:val="0"/>
          <w:strike w:val="0"/>
          <w:color w:val="000000"/>
          <w:spacing w:val="0"/>
          <w:sz w:val="28"/>
          <w:szCs w:val="28"/>
          <w:u w:val="none"/>
        </w:rPr>
        <w:t>与贵司签订《</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000000"/>
          <w:spacing w:val="0"/>
          <w:sz w:val="28"/>
          <w:szCs w:val="28"/>
          <w:u w:val="none"/>
        </w:rPr>
        <w:t>》，在合约期间，我们将严格遵守国家法律法规要求，并郑重承诺：</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严格遵守合同约定的经营范围及价格标准；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严格遵守合同约定的服务质量管理要求和服务流程开展业务服务；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严格遵守机场管理方制定的关于服务质量管理要求和标准。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如违反上述承诺，贵公司有权终止《</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000000"/>
          <w:spacing w:val="0"/>
          <w:sz w:val="28"/>
          <w:szCs w:val="28"/>
          <w:u w:val="none"/>
        </w:rPr>
        <w:t>》，有权拒绝我单位在一定时期内进入贵公司进行</w:t>
      </w:r>
      <w:r>
        <w:rPr>
          <w:rFonts w:cs="仿宋_GB2312" w:hint="eastAsia"/>
          <w:i w:val="0"/>
          <w:strike w:val="0"/>
          <w:color w:val="000000"/>
          <w:spacing w:val="0"/>
          <w:sz w:val="28"/>
          <w:szCs w:val="28"/>
          <w:u w:val="none"/>
          <w:lang w:eastAsia="zh-CN"/>
        </w:rPr>
        <w:t>其他经营</w:t>
      </w:r>
      <w:r>
        <w:rPr>
          <w:rFonts w:ascii="仿宋_GB2312" w:eastAsia="仿宋_GB2312" w:hAnsi="仿宋_GB2312" w:cs="仿宋_GB2312" w:hint="eastAsia"/>
          <w:i w:val="0"/>
          <w:strike w:val="0"/>
          <w:color w:val="000000"/>
          <w:spacing w:val="0"/>
          <w:sz w:val="28"/>
          <w:szCs w:val="28"/>
          <w:u w:val="none"/>
        </w:rPr>
        <w:t>活动，并扣除我方履约保证金。由此引起的相应损失均由我单位承担。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承诺人单位名称（盖章）：</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法定代表人或委托代理人：</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b/>
          <w:color w:val="000000"/>
          <w:sz w:val="28"/>
          <w:szCs w:val="28"/>
        </w:rPr>
      </w:pPr>
      <w:r>
        <w:rPr>
          <w:rFonts w:ascii="仿宋_GB2312" w:eastAsia="仿宋_GB2312" w:hAnsi="仿宋_GB2312" w:cs="仿宋_GB2312" w:hint="eastAsia"/>
          <w:i w:val="0"/>
          <w:strike w:val="0"/>
          <w:color w:val="000000"/>
          <w:spacing w:val="0"/>
          <w:sz w:val="28"/>
          <w:szCs w:val="28"/>
          <w:u w:val="none"/>
        </w:rPr>
        <w:t xml:space="preserve">签订日期：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年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月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日</w:t>
      </w: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sectPr>
      <w:pgSz w:w="11906" w:h="16838"/>
      <w:pgMar w:top="2098" w:right="1474" w:bottom="1984" w:left="1587" w:header="851" w:footer="992" w:gutter="0"/>
      <w:pgNumType w:fmt="numberInDash"/>
      <w:cols w:num="1" w:space="0"/>
      <w:rtlGutter w:val="0"/>
      <w:docGrid w:type="lines" w:linePitch="439"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420"/>
      <w:jc w:val="both"/>
    </w:pPr>
    <w:rPr>
      <w:rFonts w:ascii="仿宋_GB2312" w:eastAsia="仿宋_GB2312" w:hAnsi="仿宋_GB2312" w:cstheme="minorBidi"/>
      <w:kern w:val="2"/>
      <w:sz w:val="32"/>
      <w:szCs w:val="32"/>
      <w:lang w:val="en-US" w:eastAsia="zh-CN" w:bidi="ar-SA"/>
    </w:rPr>
  </w:style>
  <w:style w:type="paragraph" w:styleId="Heading1">
    <w:name w:val="heading 1"/>
    <w:basedOn w:val="Normal"/>
    <w:next w:val="Normal"/>
    <w:qFormat/>
    <w:pPr>
      <w:keepNext w:val="0"/>
      <w:keepLines w:val="0"/>
      <w:spacing w:before="0" w:beforeAutospacing="0" w:after="0" w:afterAutospacing="0" w:line="560" w:lineRule="exact"/>
      <w:ind w:firstLine="0"/>
      <w:jc w:val="center"/>
      <w:outlineLvl w:val="0"/>
    </w:pPr>
    <w:rPr>
      <w:rFonts w:ascii="方正小标宋简体" w:eastAsia="方正小标宋简体" w:hAnsi="方正小标宋简体"/>
      <w:kern w:val="44"/>
      <w:sz w:val="44"/>
      <w:szCs w:val="44"/>
    </w:rPr>
  </w:style>
  <w:style w:type="paragraph" w:styleId="Heading2">
    <w:name w:val="heading 2"/>
    <w:basedOn w:val="Normal"/>
    <w:next w:val="Normal"/>
    <w:unhideWhenUsed/>
    <w:qFormat/>
    <w:pPr>
      <w:keepNext w:val="0"/>
      <w:keepLines w:val="0"/>
      <w:spacing w:before="0" w:beforeAutospacing="0" w:after="0" w:afterAutospacing="0" w:line="560" w:lineRule="exact"/>
      <w:outlineLvl w:val="1"/>
    </w:pPr>
    <w:rPr>
      <w:rFonts w:ascii="黑体" w:eastAsia="黑体" w:hAnsi="黑体"/>
    </w:rPr>
  </w:style>
  <w:style w:type="paragraph" w:styleId="Heading3">
    <w:name w:val="heading 3"/>
    <w:basedOn w:val="Normal"/>
    <w:next w:val="Normal"/>
    <w:unhideWhenUsed/>
    <w:qFormat/>
    <w:pPr>
      <w:keepNext w:val="0"/>
      <w:keepLines w:val="0"/>
      <w:spacing w:before="0" w:beforeAutospacing="0" w:after="0" w:afterAutospacing="0" w:line="560" w:lineRule="exact"/>
      <w:outlineLvl w:val="2"/>
    </w:pPr>
    <w:rPr>
      <w:rFonts w:ascii="楷体_GB2312" w:eastAsia="楷体_GB2312" w:hAnsi="楷体_GB2312"/>
      <w:b/>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spacing w:line="240" w:lineRule="auto"/>
      <w:jc w:val="both"/>
      <w:outlineLvl w:val="9"/>
    </w:pPr>
    <w:rPr>
      <w:sz w:val="18"/>
    </w:rPr>
  </w:style>
  <w:style w:type="paragraph" w:styleId="NormalWeb">
    <w:name w:val="Normal (Web)"/>
    <w:qFormat/>
    <w:pPr>
      <w:widowControl w:val="0"/>
      <w:jc w:val="both"/>
    </w:pPr>
    <w:rPr>
      <w:rFonts w:ascii="Calibri" w:eastAsia="宋体" w:hAnsi="Calibri" w:cs="Times New Roman"/>
      <w:kern w:val="2"/>
      <w:sz w:val="24"/>
      <w:szCs w:val="24"/>
      <w:lang w:val="en-US" w:eastAsia="zh-CN" w:bidi="ar-SA"/>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Strong">
    <w:name w:val="Strong"/>
    <w:basedOn w:val="DefaultParagraphFont"/>
    <w:qFormat/>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24</TotalTime>
  <Pages>33</Pages>
  <Words>14749</Words>
  <Characters>15299</Characters>
  <Application>Microsoft Office Word</Application>
  <DocSecurity>0</DocSecurity>
  <Lines>0</Lines>
  <Paragraphs>0</Paragraphs>
  <ScaleCrop>false</ScaleCrop>
  <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2025-04-29T01:45:00Z</dcterms:created>
  <dcterms:modified xsi:type="dcterms:W3CDTF">2025-11-17T06:16:42Z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1D5824B600474D17A7A5477EE78593A0_13</vt:lpwstr>
  </property>
  <property fmtid="{D5CDD505-2E9C-101B-9397-08002B2CF9AE}" pid="3" name="KSOProductBuildVer">
    <vt:lpwstr>2052-12.1.0.21915</vt:lpwstr>
  </property>
  <property fmtid="{D5CDD505-2E9C-101B-9397-08002B2CF9AE}" pid="4" name="KSOTemplateDocerSaveRecord">
    <vt:lpwstr>eyJoZGlkIjoiMTYyOTlmOWM2ZmI2YzVhNjY0Y2U5YjQwNjdjNzRjZjIiLCJ1c2VySWQiOiIyMDk0NDM2NSJ9</vt:lpwstr>
  </property>
</Properties>
</file>