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hAnsi="宋体" w:cs="宋体" w:hint="eastAsia"/>
          <w:b/>
          <w:bCs/>
          <w:color w:val="auto"/>
          <w:sz w:val="52"/>
          <w:szCs w:val="52"/>
          <w:highlight w:val="none"/>
        </w:rPr>
      </w:pPr>
      <w:bookmarkStart w:id="0" w:name="_Toc12386"/>
      <w:r>
        <w:rPr>
          <w:rFonts w:ascii="宋体" w:hAnsi="宋体" w:cs="宋体" w:hint="eastAsia"/>
          <w:b/>
          <w:bCs/>
          <w:color w:val="auto"/>
          <w:sz w:val="30"/>
          <w:szCs w:val="30"/>
          <w:highlight w:val="none"/>
          <w:lang w:val="en-US" w:eastAsia="zh-CN"/>
        </w:rPr>
        <w:t>附件1-2：商家资料清单（综合百货）</w:t>
      </w:r>
    </w:p>
    <w:p>
      <w:pPr>
        <w:spacing w:line="360" w:lineRule="auto"/>
        <w:jc w:val="center"/>
        <w:outlineLvl w:val="0"/>
        <w:rPr>
          <w:rFonts w:asciiTheme="majorEastAsia" w:eastAsiaTheme="majorEastAsia" w:hAnsiTheme="majorEastAsia" w:cstheme="majorEastAsia" w:hint="eastAsia"/>
          <w:color w:val="auto"/>
          <w:highlight w:val="none"/>
        </w:rPr>
      </w:pPr>
      <w:bookmarkEnd w:id="0"/>
      <w:r>
        <w:rPr>
          <w:rFonts w:ascii="宋体" w:hAnsi="宋体" w:cs="宋体" w:hint="eastAsia"/>
          <w:b/>
          <w:bCs/>
          <w:color w:val="auto"/>
          <w:sz w:val="52"/>
          <w:szCs w:val="52"/>
          <w:highlight w:val="none"/>
        </w:rPr>
        <w:t xml:space="preserve"> </w:t>
      </w: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hAnsi="宋体" w:cs="宋体" w:hint="eastAsia"/>
          <w:color w:val="auto"/>
          <w:sz w:val="21"/>
          <w:szCs w:val="21"/>
          <w:highlight w:val="none"/>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w:t>
      </w:r>
      <w:r>
        <w:rPr>
          <w:rFonts w:ascii="宋体" w:hAnsi="宋体" w:cs="宋体" w:hint="eastAsia"/>
          <w:color w:val="auto"/>
          <w:szCs w:val="21"/>
          <w:highlight w:val="none"/>
          <w:lang w:val="en-US" w:eastAsia="zh-CN"/>
        </w:rPr>
        <w:t>招商工作</w:t>
      </w:r>
      <w:r>
        <w:rPr>
          <w:rFonts w:ascii="宋体" w:hAnsi="宋体" w:cs="宋体" w:hint="eastAsia"/>
          <w:color w:val="auto"/>
          <w:szCs w:val="21"/>
          <w:highlight w:val="none"/>
        </w:rPr>
        <w:t>，以</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人的名义签署</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文件、递交</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 xml:space="preserve">人公章：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9"/>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240" w:lineRule="auto"/>
        <w:ind w:firstLine="0"/>
        <w:jc w:val="left"/>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公告之日起至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18"/>
          <w:szCs w:val="18"/>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lang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（姓名）向贵司了解相关信息和购买</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outlineLvl w:val="3"/>
        <w:rPr>
          <w:rFonts w:ascii="宋体" w:hAnsi="宋体" w:cs="宋体" w:hint="eastAsia"/>
          <w:color w:val="auto"/>
          <w:sz w:val="21"/>
          <w:szCs w:val="21"/>
          <w:highlight w:val="none"/>
        </w:rPr>
      </w:pPr>
      <w:r>
        <w:rPr>
          <w:rFonts w:ascii="宋体" w:hAnsi="宋体" w:cs="宋体" w:hint="eastAsia"/>
          <w:color w:val="auto"/>
          <w:sz w:val="21"/>
          <w:szCs w:val="21"/>
          <w:highlight w:val="none"/>
          <w:lang w:val="en-US" w:eastAsia="zh-CN"/>
        </w:rPr>
        <w:t>1</w:t>
      </w:r>
      <w:r>
        <w:rPr>
          <w:rFonts w:ascii="宋体" w:hAnsi="宋体" w:cs="宋体" w:hint="eastAsia"/>
          <w:color w:val="auto"/>
          <w:sz w:val="21"/>
          <w:szCs w:val="21"/>
          <w:highlight w:val="none"/>
        </w:rPr>
        <w:t>.</w:t>
      </w:r>
      <w:r>
        <w:rPr>
          <w:rFonts w:ascii="宋体" w:hAnsi="宋体" w:cs="宋体" w:hint="eastAsia"/>
          <w:color w:val="auto"/>
          <w:sz w:val="21"/>
          <w:szCs w:val="21"/>
          <w:highlight w:val="none"/>
          <w:lang w:val="en-US" w:eastAsia="zh-CN"/>
        </w:rPr>
        <w:t>7</w:t>
      </w:r>
      <w:r>
        <w:rPr>
          <w:rFonts w:ascii="宋体" w:hAnsi="宋体" w:cs="宋体" w:hint="eastAsia"/>
          <w:color w:val="auto"/>
          <w:sz w:val="21"/>
          <w:szCs w:val="21"/>
          <w:highlight w:val="none"/>
        </w:rPr>
        <w:t>对标承诺书</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default"/>
          <w:color w:val="auto"/>
          <w:kern w:val="0"/>
          <w:sz w:val="21"/>
          <w:szCs w:val="21"/>
          <w:highlight w:val="none"/>
          <w:lang w:val="en-US" w:eastAsia="zh-CN" w:bidi="ar-SA"/>
        </w:rPr>
      </w:pPr>
      <w:r>
        <w:rPr>
          <w:rFonts w:ascii="宋体" w:hAnsi="宋体" w:cs="宋体" w:hint="eastAsia"/>
          <w:color w:val="auto"/>
          <w:sz w:val="21"/>
          <w:szCs w:val="21"/>
          <w:highlight w:val="none"/>
        </w:rPr>
        <w:t xml:space="preserve">   </w:t>
      </w:r>
      <w:r>
        <w:rPr>
          <w:rFonts w:ascii="宋体" w:eastAsia="宋体" w:hAnsi="宋体" w:cs="宋体" w:hint="eastAsia"/>
          <w:color w:val="auto"/>
          <w:kern w:val="0"/>
          <w:sz w:val="21"/>
          <w:szCs w:val="21"/>
          <w:highlight w:val="none"/>
          <w:lang w:val="en-US" w:eastAsia="zh-CN" w:bidi="ar-SA"/>
        </w:rPr>
        <w:t>以春熙商圈</w:t>
      </w:r>
      <w:r>
        <w:rPr>
          <w:rFonts w:ascii="宋体" w:hAnsi="宋体" w:cs="宋体" w:hint="eastAsia"/>
          <w:color w:val="auto"/>
          <w:kern w:val="0"/>
          <w:sz w:val="21"/>
          <w:szCs w:val="21"/>
          <w:highlight w:val="none"/>
          <w:lang w:val="en-US" w:eastAsia="zh-CN" w:bidi="ar-SA"/>
        </w:rPr>
        <w:t>、交子商圈</w:t>
      </w:r>
      <w:r>
        <w:rPr>
          <w:rFonts w:ascii="宋体" w:eastAsia="宋体" w:hAnsi="宋体" w:cs="宋体" w:hint="eastAsia"/>
          <w:color w:val="auto"/>
          <w:kern w:val="0"/>
          <w:sz w:val="21"/>
          <w:szCs w:val="21"/>
          <w:highlight w:val="none"/>
          <w:lang w:val="en-US" w:eastAsia="zh-CN" w:bidi="ar-SA"/>
        </w:rPr>
        <w:t>及</w:t>
      </w:r>
      <w:r>
        <w:rPr>
          <w:rFonts w:ascii="宋体" w:hAnsi="宋体" w:cs="宋体" w:hint="eastAsia"/>
          <w:color w:val="auto"/>
          <w:szCs w:val="21"/>
          <w:highlight w:val="none"/>
        </w:rPr>
        <w:t>成都市锦江区、武侯区、青羊区、金牛区、成华区、高新区、天府新区</w:t>
      </w:r>
      <w:r>
        <w:rPr>
          <w:rFonts w:ascii="宋体" w:hAnsi="宋体" w:cs="宋体" w:hint="eastAsia"/>
          <w:color w:val="auto"/>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eastAsia="宋体" w:hAnsi="宋体" w:cs="宋体" w:hint="eastAsia"/>
          <w:color w:val="auto"/>
          <w:kern w:val="0"/>
          <w:sz w:val="21"/>
          <w:szCs w:val="21"/>
          <w:highlight w:val="none"/>
          <w:lang w:val="en-US" w:eastAsia="zh-CN" w:bidi="ar-SA"/>
        </w:rPr>
        <w:t>。不允许对标</w:t>
      </w:r>
      <w:r>
        <w:rPr>
          <w:rFonts w:ascii="宋体" w:hAnsi="宋体" w:cs="宋体" w:hint="eastAsia"/>
          <w:color w:val="auto"/>
          <w:kern w:val="0"/>
          <w:sz w:val="21"/>
          <w:szCs w:val="21"/>
          <w:highlight w:val="none"/>
          <w:lang w:val="en-US" w:eastAsia="zh-CN" w:bidi="ar-SA"/>
        </w:rPr>
        <w:t>旅游景区、游乐园、高速服务区</w:t>
      </w:r>
      <w:r>
        <w:rPr>
          <w:rFonts w:ascii="宋体" w:hAnsi="宋体" w:cs="宋体" w:hint="eastAsia"/>
          <w:color w:val="auto"/>
          <w:szCs w:val="21"/>
          <w:highlight w:val="none"/>
          <w:lang w:val="en-US" w:eastAsia="zh-CN"/>
        </w:rPr>
        <w:t>等特殊消费场所的品牌店铺。</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widowControl/>
        <w:kinsoku/>
        <w:wordWrap/>
        <w:overflowPunct/>
        <w:topLinePunct w:val="0"/>
        <w:adjustRightInd w:val="0"/>
        <w:spacing w:line="360" w:lineRule="auto"/>
        <w:jc w:val="center"/>
        <w:textAlignment w:val="baseline"/>
        <w:rPr>
          <w:rFonts w:ascii="宋体" w:eastAsia="宋体" w:hAnsi="宋体" w:cs="宋体" w:hint="eastAsia"/>
          <w:b/>
          <w:bCs/>
          <w:color w:val="auto"/>
          <w:kern w:val="0"/>
          <w:sz w:val="21"/>
          <w:szCs w:val="21"/>
          <w:highlight w:val="none"/>
          <w:lang w:val="en-US" w:eastAsia="zh-CN" w:bidi="ar-SA"/>
        </w:rPr>
      </w:pPr>
      <w:r>
        <w:rPr>
          <w:rFonts w:ascii="宋体" w:hAnsi="宋体" w:cs="宋体" w:hint="eastAsia"/>
          <w:b/>
          <w:bCs/>
          <w:color w:val="auto"/>
          <w:sz w:val="21"/>
          <w:szCs w:val="21"/>
          <w:highlight w:val="none"/>
        </w:rPr>
        <w:t>对标承诺书</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 w:val="21"/>
          <w:szCs w:val="21"/>
          <w:highlight w:val="none"/>
        </w:rPr>
        <w:t>成都双流国际机场T</w:t>
      </w:r>
      <w:r>
        <w:rPr>
          <w:rFonts w:ascii="宋体" w:hAnsi="宋体" w:cs="宋体" w:hint="eastAsia"/>
          <w:color w:val="auto"/>
          <w:sz w:val="21"/>
          <w:szCs w:val="21"/>
          <w:highlight w:val="none"/>
          <w:lang w:val="en-US" w:eastAsia="zh-CN"/>
        </w:rPr>
        <w:t>2</w:t>
      </w:r>
      <w:r>
        <w:rPr>
          <w:rFonts w:ascii="宋体" w:hAnsi="宋体" w:cs="宋体" w:hint="eastAsia"/>
          <w:color w:val="auto"/>
          <w:sz w:val="21"/>
          <w:szCs w:val="21"/>
          <w:highlight w:val="none"/>
        </w:rPr>
        <w:t>航站楼招商</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w:t>
      </w:r>
      <w:r>
        <w:rPr>
          <w:rFonts w:ascii="宋体" w:eastAsia="宋体" w:hAnsi="宋体" w:cs="宋体" w:hint="eastAsia"/>
          <w:color w:val="auto"/>
          <w:kern w:val="0"/>
          <w:sz w:val="21"/>
          <w:szCs w:val="21"/>
          <w:highlight w:val="none"/>
          <w:lang w:val="en-US" w:eastAsia="zh-CN" w:bidi="ar-SA"/>
        </w:rPr>
        <w:t>交通枢纽</w:t>
      </w:r>
      <w:r>
        <w:rPr>
          <w:rFonts w:ascii="宋体" w:hAnsi="宋体" w:cs="宋体" w:hint="eastAsia"/>
          <w:color w:val="auto"/>
          <w:kern w:val="0"/>
          <w:sz w:val="21"/>
          <w:szCs w:val="21"/>
          <w:highlight w:val="none"/>
          <w:lang w:val="en-US" w:eastAsia="zh-CN" w:bidi="ar-SA"/>
        </w:rPr>
        <w:t>、旅游景区、游乐园、高速服务区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Cs w:val="21"/>
          <w:highlight w:val="none"/>
        </w:rPr>
        <w:t>若</w:t>
      </w:r>
      <w:r>
        <w:rPr>
          <w:rFonts w:ascii="宋体" w:hAnsi="宋体" w:cs="宋体" w:hint="eastAsia"/>
          <w:color w:val="auto"/>
          <w:szCs w:val="21"/>
          <w:highlight w:val="none"/>
          <w:lang w:val="en-US" w:eastAsia="zh-CN"/>
        </w:rPr>
        <w:t>成都核心区域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w:t>
      </w:r>
      <w:r>
        <w:rPr>
          <w:rFonts w:ascii="宋体" w:eastAsia="宋体" w:hAnsi="宋体" w:cs="宋体" w:hint="eastAsia"/>
          <w:color w:val="auto"/>
          <w:szCs w:val="21"/>
          <w:highlight w:val="none"/>
        </w:rPr>
        <w:t>（不含</w:t>
      </w:r>
      <w:r>
        <w:rPr>
          <w:rFonts w:ascii="宋体" w:hAnsi="宋体" w:cs="宋体" w:hint="eastAsia"/>
          <w:color w:val="auto"/>
          <w:szCs w:val="21"/>
          <w:highlight w:val="none"/>
          <w:lang w:val="en-US" w:eastAsia="zh-CN"/>
        </w:rPr>
        <w:t>旅游景区</w:t>
      </w:r>
      <w:r>
        <w:rPr>
          <w:rFonts w:ascii="宋体" w:eastAsia="宋体" w:hAnsi="宋体" w:cs="宋体" w:hint="eastAsia"/>
          <w:color w:val="auto"/>
          <w:szCs w:val="21"/>
          <w:highlight w:val="none"/>
        </w:rPr>
        <w:t>、</w:t>
      </w:r>
      <w:r>
        <w:rPr>
          <w:rFonts w:ascii="宋体" w:hAnsi="宋体" w:cs="宋体" w:hint="eastAsia"/>
          <w:color w:val="auto"/>
          <w:szCs w:val="21"/>
          <w:highlight w:val="none"/>
          <w:lang w:val="en-US" w:eastAsia="zh-CN"/>
        </w:rPr>
        <w:t>游乐园、</w:t>
      </w:r>
      <w:r>
        <w:rPr>
          <w:rFonts w:ascii="宋体" w:eastAsia="宋体" w:hAnsi="宋体" w:cs="宋体" w:hint="eastAsia"/>
          <w:color w:val="auto"/>
          <w:szCs w:val="21"/>
          <w:highlight w:val="none"/>
        </w:rPr>
        <w:t>高速服务区</w:t>
      </w:r>
      <w:r>
        <w:rPr>
          <w:rFonts w:ascii="宋体" w:hAnsi="宋体" w:cs="宋体" w:hint="eastAsia"/>
          <w:color w:val="auto"/>
          <w:szCs w:val="21"/>
          <w:highlight w:val="none"/>
          <w:lang w:val="en-US" w:eastAsia="zh-CN"/>
        </w:rPr>
        <w:t>等特殊消费场所</w:t>
      </w:r>
      <w:r>
        <w:rPr>
          <w:rFonts w:ascii="宋体" w:eastAsia="宋体" w:hAnsi="宋体" w:cs="宋体" w:hint="eastAsia"/>
          <w:color w:val="auto"/>
          <w:szCs w:val="21"/>
          <w:highlight w:val="none"/>
        </w:rPr>
        <w:t>）</w:t>
      </w:r>
      <w:r>
        <w:rPr>
          <w:rFonts w:ascii="宋体" w:hAnsi="宋体" w:cs="宋体" w:hint="eastAsia"/>
          <w:color w:val="auto"/>
          <w:szCs w:val="21"/>
          <w:highlight w:val="none"/>
        </w:rPr>
        <w:t>进行对标。</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ageBreakBefore w:val="0"/>
        <w:widowControl/>
        <w:kinsoku/>
        <w:wordWrap/>
        <w:overflowPunct/>
        <w:topLinePunct w:val="0"/>
        <w:adjustRightInd w:val="0"/>
        <w:spacing w:line="360" w:lineRule="auto"/>
        <w:ind w:left="420"/>
        <w:jc w:val="left"/>
        <w:textAlignment w:val="baseline"/>
        <w:rPr>
          <w:rFonts w:ascii="宋体" w:eastAsia="宋体" w:hAnsi="宋体" w:cs="宋体"/>
          <w:color w:val="auto"/>
          <w:kern w:val="0"/>
          <w:sz w:val="21"/>
          <w:szCs w:val="21"/>
          <w:highlight w:val="none"/>
          <w:u w:val="single"/>
          <w:lang w:val="en-US" w:eastAsia="zh-CN" w:bidi="ar-SA"/>
        </w:rPr>
      </w:pP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kinsoku/>
        <w:wordWrap/>
        <w:overflowPunct/>
        <w:topLinePunct w:val="0"/>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pageBreakBefore w:val="0"/>
        <w:kinsoku/>
        <w:wordWrap/>
        <w:overflowPunct/>
        <w:topLinePunct w:val="0"/>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bookmarkStart w:id="2" w:name="_GoBack"/>
      <w:bookmarkEnd w:id="2"/>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w:t>
      </w:r>
      <w:r>
        <w:rPr>
          <w:rFonts w:ascii="宋体" w:hAnsi="宋体" w:cs="宋体" w:hint="eastAsia"/>
          <w:color w:val="auto"/>
          <w:szCs w:val="21"/>
          <w:highlight w:val="yellow"/>
        </w:rPr>
        <w:t>2021年度-202</w:t>
      </w:r>
      <w:r>
        <w:rPr>
          <w:rFonts w:ascii="宋体" w:hAnsi="宋体" w:cs="宋体" w:hint="eastAsia"/>
          <w:color w:val="auto"/>
          <w:szCs w:val="21"/>
          <w:highlight w:val="yellow"/>
          <w:lang w:val="en-US" w:eastAsia="zh-CN"/>
        </w:rPr>
        <w:t>4</w:t>
      </w:r>
      <w:r>
        <w:rPr>
          <w:rFonts w:ascii="宋体" w:hAnsi="宋体" w:cs="宋体" w:hint="eastAsia"/>
          <w:color w:val="auto"/>
          <w:szCs w:val="21"/>
          <w:highlight w:val="yellow"/>
        </w:rPr>
        <w:t>年度</w:t>
      </w:r>
      <w:r>
        <w:rPr>
          <w:rFonts w:ascii="宋体" w:hAnsi="宋体" w:cs="宋体" w:hint="eastAsia"/>
          <w:color w:val="auto"/>
          <w:szCs w:val="21"/>
          <w:highlight w:val="yellow"/>
          <w:lang w:val="en-US" w:eastAsia="zh-CN"/>
        </w:rPr>
        <w:t>任意连续</w:t>
      </w:r>
      <w:r>
        <w:rPr>
          <w:rFonts w:ascii="宋体" w:hAnsi="宋体" w:cs="宋体" w:hint="eastAsia"/>
          <w:color w:val="auto"/>
          <w:szCs w:val="21"/>
          <w:highlight w:val="none"/>
        </w:rPr>
        <w:t>三年经会计师事务所审计的财务报告（至少包含资产负债表、利润表、现金流量表三张主表）复印件，</w:t>
      </w:r>
      <w:r>
        <w:rPr>
          <w:rFonts w:hint="eastAsia"/>
          <w:color w:val="auto"/>
          <w:highlight w:val="none"/>
        </w:rPr>
        <w:t>加盖公章。</w:t>
      </w:r>
      <w:r>
        <w:rPr>
          <w:rFonts w:ascii="宋体" w:hAnsi="宋体" w:cs="宋体" w:hint="eastAsia"/>
          <w:color w:val="auto"/>
          <w:szCs w:val="21"/>
          <w:highlight w:val="none"/>
        </w:rPr>
        <w:t>若上述报表不全则“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2021年度-2023年度营业收入（RMB）”和“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spacing w:line="360" w:lineRule="auto"/>
        <w:ind w:firstLine="840"/>
        <w:rPr>
          <w:rFonts w:ascii="宋体" w:hAnsi="宋体" w:cs="宋体"/>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240" w:lineRule="auto"/>
        <w:ind w:firstLine="0"/>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0"/>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yellow"/>
          <w:lang w:val="en-US" w:eastAsia="zh-CN"/>
        </w:rPr>
        <w:t>2024</w:t>
      </w:r>
      <w:r>
        <w:rPr>
          <w:rFonts w:ascii="宋体" w:hAnsi="宋体" w:cs="宋体" w:hint="eastAsia"/>
          <w:color w:val="auto"/>
          <w:szCs w:val="21"/>
          <w:highlight w:val="yellow"/>
        </w:rPr>
        <w:t>年度</w:t>
      </w:r>
      <w:r>
        <w:rPr>
          <w:rFonts w:ascii="宋体" w:hAnsi="宋体" w:cs="宋体" w:hint="eastAsia"/>
          <w:color w:val="auto"/>
          <w:szCs w:val="21"/>
          <w:highlight w:val="yellow"/>
          <w:lang w:eastAsia="zh-CN"/>
        </w:rPr>
        <w:t>（</w:t>
      </w:r>
      <w:r>
        <w:rPr>
          <w:rFonts w:ascii="宋体" w:hAnsi="宋体" w:cs="宋体" w:hint="eastAsia"/>
          <w:color w:val="auto"/>
          <w:szCs w:val="21"/>
          <w:highlight w:val="yellow"/>
          <w:lang w:val="en-US" w:eastAsia="zh-CN"/>
        </w:rPr>
        <w:t>如无，则提供2023年度</w:t>
      </w:r>
      <w:r>
        <w:rPr>
          <w:rFonts w:ascii="宋体" w:hAnsi="宋体" w:cs="宋体" w:hint="eastAsia"/>
          <w:color w:val="auto"/>
          <w:szCs w:val="21"/>
          <w:highlight w:val="yellow"/>
          <w:lang w:eastAsia="zh-CN"/>
        </w:rPr>
        <w:t>）</w:t>
      </w:r>
      <w:r>
        <w:rPr>
          <w:rFonts w:ascii="宋体" w:hAnsi="宋体" w:cs="宋体" w:hint="eastAsia"/>
          <w:color w:val="auto"/>
          <w:szCs w:val="21"/>
          <w:highlight w:val="none"/>
        </w:rPr>
        <w:t>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b/>
          <w:bCs/>
          <w:color w:val="auto"/>
          <w:szCs w:val="21"/>
          <w:highlight w:val="none"/>
        </w:rPr>
        <w:br w:type="page"/>
      </w:r>
    </w:p>
    <w:p>
      <w:pPr>
        <w:spacing w:line="24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2"/>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2"/>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在近三年中国旅客吞吐量1500万人次以上及港澳台机场布局情况</w:t>
      </w:r>
      <w:r>
        <w:rPr>
          <w:rFonts w:ascii="宋体" w:hAnsi="宋体" w:cs="宋体" w:hint="eastAsia"/>
          <w:color w:val="auto"/>
          <w:kern w:val="2"/>
          <w:szCs w:val="21"/>
          <w:highlight w:val="none"/>
          <w:lang w:val="en-US" w:eastAsia="zh-CN"/>
        </w:rPr>
        <w:t>列表</w:t>
      </w:r>
      <w:r>
        <w:rPr>
          <w:rFonts w:ascii="宋体" w:hAnsi="宋体" w:cs="宋体" w:hint="eastAsia"/>
          <w:color w:val="auto"/>
          <w:kern w:val="2"/>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2025年3月31日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szCs w:val="21"/>
          <w:highlight w:val="none"/>
        </w:rPr>
        <w:t>若没有机场从业经验，可不提供此方面材料</w:t>
      </w:r>
      <w:r>
        <w:rPr>
          <w:rFonts w:ascii="宋体" w:eastAsia="宋体" w:hAnsi="宋体" w:cs="宋体" w:hint="eastAsia"/>
          <w:color w:val="auto"/>
          <w:kern w:val="0"/>
          <w:szCs w:val="21"/>
          <w:highlight w:val="none"/>
          <w:lang/>
        </w:rPr>
        <w:t>。</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355"/>
        <w:gridCol w:w="1447"/>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44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12" w:type="dxa"/>
            <w:vAlign w:val="center"/>
          </w:tcPr>
          <w:p>
            <w:pPr>
              <w:spacing w:line="360" w:lineRule="auto"/>
              <w:ind w:right="-84"/>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widowControl/>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4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3"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left"/>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2025年3月31日，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left"/>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0"/>
          <w:szCs w:val="21"/>
          <w:highlight w:val="none"/>
          <w:lang/>
        </w:rPr>
        <w:t>在近三年中国旅客吞吐量1500万人次以上</w:t>
      </w:r>
      <w:r>
        <w:rPr>
          <w:rFonts w:ascii="宋体" w:hAnsi="宋体" w:cs="宋体" w:hint="eastAsia"/>
          <w:color w:val="auto"/>
          <w:kern w:val="0"/>
          <w:szCs w:val="21"/>
          <w:highlight w:val="none"/>
          <w:lang w:val="en-US" w:eastAsia="zh-CN"/>
        </w:rPr>
        <w:t>机场</w:t>
      </w:r>
      <w:r>
        <w:rPr>
          <w:rFonts w:ascii="宋体" w:hAnsi="宋体" w:cs="宋体" w:hint="eastAsia"/>
          <w:color w:val="auto"/>
          <w:kern w:val="0"/>
          <w:szCs w:val="21"/>
          <w:highlight w:val="none"/>
          <w:lang/>
        </w:rPr>
        <w:t>及港澳台机场布局情况</w:t>
      </w:r>
      <w:r>
        <w:rPr>
          <w:rFonts w:ascii="宋体" w:hAnsi="宋体" w:cs="宋体" w:hint="eastAsia"/>
          <w:color w:val="auto"/>
          <w:kern w:val="0"/>
          <w:szCs w:val="21"/>
          <w:highlight w:val="none"/>
          <w:lang w:val="en-US" w:eastAsia="zh-CN"/>
        </w:rPr>
        <w:t>列表</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rPr>
        <w:t>布局列表</w:t>
      </w:r>
      <w:r>
        <w:rPr>
          <w:rFonts w:ascii="宋体" w:hAnsi="宋体" w:cs="宋体" w:hint="eastAsia"/>
          <w:color w:val="auto"/>
          <w:kern w:val="0"/>
          <w:szCs w:val="21"/>
          <w:highlight w:val="none"/>
          <w:lang w:eastAsia="zh-CN"/>
        </w:rPr>
        <w:t>。</w:t>
      </w:r>
    </w:p>
    <w:p>
      <w:pPr>
        <w:spacing w:line="240" w:lineRule="auto"/>
        <w:ind w:firstLine="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 xml:space="preserve">    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2025年3月31日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val="en-US"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20"/>
        <w:gridCol w:w="139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420" w:type="dxa"/>
            <w:vAlign w:val="center"/>
          </w:tcPr>
          <w:p>
            <w:pPr>
              <w:spacing w:line="240" w:lineRule="auto"/>
              <w:jc w:val="left"/>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9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2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9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Theme="minorEastAsia" w:eastAsiaTheme="minorEastAsia" w:hAnsiTheme="minorEastAsia" w:cstheme="minorEastAsia" w:hint="eastAsia"/>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13"/>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2025年3月31日，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pStyle w:val="a"/>
        <w:rPr>
          <w:rFonts w:hint="eastAsia"/>
          <w:highlight w:val="none"/>
        </w:rPr>
      </w:pPr>
    </w:p>
    <w:p>
      <w:pPr>
        <w:spacing w:line="240" w:lineRule="auto"/>
        <w:jc w:val="left"/>
        <w:outlineLvl w:val="3"/>
        <w:rPr>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spacing w:line="360" w:lineRule="auto"/>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lang w:eastAsia="zh-CN"/>
        </w:rPr>
        <w:t>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w:t>
      </w:r>
      <w:r>
        <w:rPr>
          <w:rFonts w:ascii="宋体" w:hAnsi="宋体" w:cs="宋体" w:hint="eastAsia"/>
          <w:color w:val="auto"/>
          <w:szCs w:val="21"/>
          <w:highlight w:val="none"/>
          <w:lang w:val="en-US" w:eastAsia="zh-CN"/>
        </w:rPr>
        <w:t>1.1</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经营模式</w:t>
      </w:r>
    </w:p>
    <w:p>
      <w:pPr>
        <w:pStyle w:val="a"/>
        <w:spacing w:line="360" w:lineRule="auto"/>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 xml:space="preserve">        经营模式承诺书格式：</w:t>
      </w:r>
    </w:p>
    <w:p>
      <w:pPr>
        <w:pStyle w:val="a"/>
        <w:spacing w:line="360" w:lineRule="auto"/>
        <w:rPr>
          <w:rFonts w:ascii="宋体" w:hAnsi="宋体" w:cs="宋体"/>
          <w:color w:val="auto"/>
          <w:sz w:val="21"/>
          <w:szCs w:val="21"/>
          <w:highlight w:val="none"/>
        </w:rPr>
      </w:pP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经营模式承诺书</w:t>
      </w:r>
    </w:p>
    <w:p>
      <w:pPr>
        <w:spacing w:line="360" w:lineRule="auto"/>
        <w:rPr>
          <w:rFonts w:ascii="宋体" w:hAnsi="宋体" w:cs="宋体"/>
          <w:color w:val="auto"/>
          <w:szCs w:val="21"/>
          <w:highlight w:val="none"/>
        </w:rPr>
      </w:pPr>
    </w:p>
    <w:p>
      <w:pPr>
        <w:spacing w:line="360" w:lineRule="auto"/>
        <w:ind w:firstLine="420"/>
        <w:rPr>
          <w:rFonts w:ascii="宋体" w:hAnsi="宋体"/>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，现向贵司郑重承诺：</w:t>
      </w:r>
    </w:p>
    <w:p>
      <w:pPr>
        <w:spacing w:line="360" w:lineRule="auto"/>
        <w:ind w:firstLine="420"/>
        <w:rPr>
          <w:rFonts w:ascii="宋体" w:hAnsi="宋体"/>
          <w:color w:val="auto"/>
          <w:highlight w:val="none"/>
        </w:rPr>
      </w:pPr>
      <w:r>
        <w:rPr>
          <w:rFonts w:ascii="宋体" w:hAnsi="宋体" w:hint="eastAsia"/>
          <w:color w:val="auto"/>
          <w:highlight w:val="none"/>
        </w:rPr>
        <w:t>□品牌直营</w:t>
      </w:r>
    </w:p>
    <w:p>
      <w:pPr>
        <w:spacing w:line="360" w:lineRule="auto"/>
        <w:ind w:firstLine="420"/>
        <w:rPr>
          <w:rFonts w:ascii="宋体" w:hAnsi="宋体"/>
          <w:color w:val="auto"/>
          <w:highlight w:val="none"/>
          <w:u w:val="single"/>
        </w:rPr>
      </w:pPr>
      <w:r>
        <w:rPr>
          <w:rFonts w:ascii="宋体" w:hAnsi="宋体" w:hint="eastAsia"/>
          <w:color w:val="auto"/>
          <w:highlight w:val="none"/>
        </w:rPr>
        <w:t>□加盟代理经营</w:t>
      </w:r>
    </w:p>
    <w:p>
      <w:pPr>
        <w:spacing w:line="360" w:lineRule="auto"/>
        <w:ind w:firstLine="422"/>
        <w:rPr>
          <w:b/>
          <w:bCs/>
          <w:color w:val="auto"/>
          <w:highlight w:val="none"/>
        </w:rPr>
      </w:pPr>
      <w:r>
        <w:rPr>
          <w:rFonts w:hint="eastAsia"/>
          <w:b/>
          <w:bCs/>
          <w:color w:val="auto"/>
          <w:highlight w:val="none"/>
        </w:rPr>
        <w:t>（二者只能选一划勾）</w:t>
      </w:r>
    </w:p>
    <w:p>
      <w:pPr>
        <w:spacing w:line="360" w:lineRule="auto"/>
        <w:ind w:firstLine="420"/>
        <w:rPr>
          <w:rFonts w:ascii="宋体" w:hAnsi="宋体"/>
          <w:color w:val="auto"/>
          <w:highlight w:val="none"/>
        </w:rPr>
      </w:pPr>
      <w:r>
        <w:rPr>
          <w:rFonts w:ascii="宋体" w:hAnsi="宋体" w:hint="eastAsia"/>
          <w:color w:val="auto"/>
          <w:highlight w:val="none"/>
        </w:rPr>
        <w:t>因品牌、服务质量等问题引发的法律责任由我公司完全承担。</w:t>
      </w:r>
    </w:p>
    <w:p>
      <w:pPr>
        <w:spacing w:line="360" w:lineRule="auto"/>
        <w:ind w:firstLine="420"/>
        <w:rPr>
          <w:rFonts w:ascii="宋体" w:hAnsi="宋体" w:cs="宋体"/>
          <w:color w:val="auto"/>
          <w:szCs w:val="21"/>
          <w:highlight w:val="none"/>
        </w:rPr>
      </w:pP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航站楼招商</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rFonts w:ascii="宋体" w:hAnsi="宋体" w:cs="宋体" w:hint="eastAsia"/>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outlineLvl w:val="3"/>
        <w:rPr>
          <w:rFonts w:ascii="宋体" w:hAnsi="宋体" w:cs="宋体" w:hint="eastAsia"/>
          <w:color w:val="auto"/>
          <w:kern w:val="2"/>
          <w:szCs w:val="21"/>
          <w:highlight w:val="none"/>
          <w:lang w:val="en-US" w:eastAsia="zh-CN"/>
        </w:rPr>
      </w:pPr>
      <w:bookmarkStart w:id="3" w:name="_Toc4063"/>
      <w:bookmarkStart w:id="4" w:name="_Toc27037"/>
      <w:bookmarkStart w:id="5" w:name="_Toc41558662"/>
      <w:bookmarkStart w:id="6" w:name="_Hlk41556141"/>
      <w:bookmarkStart w:id="7" w:name="_Toc9087"/>
      <w:r>
        <w:rPr>
          <w:rFonts w:ascii="宋体" w:hAnsi="宋体" w:cs="宋体" w:hint="eastAsia"/>
          <w:color w:val="auto"/>
          <w:szCs w:val="21"/>
          <w:highlight w:val="none"/>
        </w:rPr>
        <w:t>4.2</w:t>
      </w:r>
      <w:r>
        <w:rPr>
          <w:rFonts w:ascii="宋体" w:hAnsi="宋体" w:cs="宋体" w:hint="eastAsia"/>
          <w:color w:val="auto"/>
          <w:kern w:val="2"/>
          <w:szCs w:val="21"/>
          <w:highlight w:val="none"/>
          <w:lang w:val="en-US" w:eastAsia="zh-CN"/>
        </w:rPr>
        <w:t>首店证明材料</w:t>
      </w:r>
    </w:p>
    <w:p>
      <w:pPr>
        <w:pStyle w:val="BodyText"/>
        <w:jc w:val="left"/>
        <w:rPr>
          <w:rFonts w:hint="default"/>
          <w:b w:val="0"/>
          <w:bCs/>
          <w:sz w:val="21"/>
          <w:szCs w:val="21"/>
          <w:highlight w:val="none"/>
          <w:lang w:val="en-US" w:eastAsia="zh-CN"/>
        </w:rPr>
      </w:pPr>
      <w:r>
        <w:rPr>
          <w:rFonts w:hint="eastAsia"/>
          <w:b w:val="0"/>
          <w:bCs/>
          <w:sz w:val="21"/>
          <w:szCs w:val="21"/>
          <w:highlight w:val="none"/>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宋体" w:hAnsi="宋体" w:cs="宋体" w:hint="eastAsia"/>
          <w:b/>
          <w:bCs/>
          <w:color w:val="auto"/>
          <w:szCs w:val="21"/>
          <w:highlight w:val="none"/>
        </w:rPr>
      </w:pPr>
      <w:r>
        <w:rPr>
          <w:rFonts w:ascii="宋体" w:hAnsi="宋体" w:cs="宋体" w:hint="eastAsia"/>
          <w:color w:val="auto"/>
          <w:szCs w:val="21"/>
          <w:highlight w:val="none"/>
          <w:lang w:val="en-US" w:eastAsia="zh-CN"/>
        </w:rPr>
        <w:t>注：①</w:t>
      </w:r>
      <w:r>
        <w:rPr>
          <w:rFonts w:ascii="宋体" w:hAnsi="宋体" w:cs="宋体" w:hint="eastAsia"/>
          <w:b/>
          <w:bCs/>
          <w:color w:val="auto"/>
          <w:szCs w:val="21"/>
          <w:highlight w:val="none"/>
        </w:rPr>
        <w:t>证明</w:t>
      </w:r>
      <w:r>
        <w:rPr>
          <w:rFonts w:ascii="宋体" w:hAnsi="宋体" w:cs="宋体" w:hint="eastAsia"/>
          <w:b/>
          <w:bCs/>
          <w:color w:val="auto"/>
          <w:szCs w:val="21"/>
          <w:highlight w:val="none"/>
          <w:lang w:val="en-US" w:eastAsia="zh-CN"/>
        </w:rPr>
        <w:t>材料</w:t>
      </w:r>
      <w:r>
        <w:rPr>
          <w:rFonts w:ascii="宋体" w:hAnsi="宋体" w:cs="宋体" w:hint="eastAsia"/>
          <w:b/>
          <w:bCs/>
          <w:color w:val="auto"/>
          <w:szCs w:val="21"/>
          <w:highlight w:val="none"/>
          <w:lang w:eastAsia="zh-CN"/>
        </w:rPr>
        <w:t>（</w:t>
      </w:r>
      <w:r>
        <w:rPr>
          <w:rFonts w:hint="eastAsia"/>
          <w:b w:val="0"/>
          <w:bCs/>
          <w:sz w:val="21"/>
          <w:szCs w:val="21"/>
          <w:highlight w:val="none"/>
          <w:lang w:val="en-US" w:eastAsia="zh-CN"/>
        </w:rPr>
        <w:t>包括但不限于大众点评截图或国内知名连锁品牌官方提供的证明文件</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lang w:val="en-US" w:eastAsia="zh-CN"/>
        </w:rPr>
        <w:t>加</w:t>
      </w:r>
      <w:r>
        <w:rPr>
          <w:rFonts w:ascii="宋体" w:hAnsi="宋体" w:cs="宋体" w:hint="eastAsia"/>
          <w:b/>
          <w:bCs/>
          <w:color w:val="auto"/>
          <w:szCs w:val="21"/>
          <w:highlight w:val="none"/>
        </w:rPr>
        <w:t>盖</w:t>
      </w:r>
      <w:r>
        <w:rPr>
          <w:rFonts w:ascii="宋体" w:hAnsi="宋体" w:cs="宋体" w:hint="eastAsia"/>
          <w:b/>
          <w:bCs/>
          <w:color w:val="auto"/>
          <w:szCs w:val="21"/>
          <w:highlight w:val="none"/>
          <w:lang w:val="en-US" w:eastAsia="zh-CN"/>
        </w:rPr>
        <w:t>响应人</w:t>
      </w:r>
      <w:r>
        <w:rPr>
          <w:rFonts w:ascii="宋体" w:hAnsi="宋体" w:cs="宋体" w:hint="eastAsia"/>
          <w:b/>
          <w:bCs/>
          <w:color w:val="auto"/>
          <w:szCs w:val="21"/>
          <w:highlight w:val="none"/>
        </w:rPr>
        <w:t>公章</w:t>
      </w:r>
    </w:p>
    <w:p>
      <w:pPr>
        <w:spacing w:line="360" w:lineRule="auto"/>
        <w:ind w:firstLine="422"/>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lang w:val="en-US" w:eastAsia="zh-CN"/>
        </w:rPr>
        <w:t>②</w:t>
      </w:r>
      <w:r>
        <w:rPr>
          <w:rFonts w:cs="Calibri" w:hint="eastAsia"/>
          <w:color w:val="auto"/>
          <w:szCs w:val="21"/>
          <w:highlight w:val="none"/>
          <w:lang w:val="en-US" w:eastAsia="zh-CN"/>
        </w:rPr>
        <w:t>过去曾开店、现状未开店的情况，不算作首店</w:t>
      </w:r>
      <w:r>
        <w:rPr>
          <w:rFonts w:ascii="宋体" w:hAnsi="宋体" w:cs="宋体" w:hint="eastAsia"/>
          <w:b/>
          <w:bCs/>
          <w:color w:val="auto"/>
          <w:szCs w:val="21"/>
          <w:highlight w:val="none"/>
          <w:lang w:eastAsia="zh-CN"/>
        </w:rPr>
        <w:t>。</w:t>
      </w:r>
    </w:p>
    <w:p>
      <w:pPr>
        <w:spacing w:line="360" w:lineRule="auto"/>
        <w:ind w:firstLine="420"/>
        <w:jc w:val="left"/>
        <w:rPr>
          <w:rFonts w:ascii="宋体" w:hAnsi="宋体" w:cs="宋体" w:hint="eastAsia"/>
          <w:color w:val="auto"/>
          <w:szCs w:val="21"/>
          <w:highlight w:val="none"/>
          <w:lang w:val="en-US" w:eastAsia="zh-CN"/>
        </w:rPr>
      </w:pPr>
      <w:r>
        <w:rPr>
          <w:rFonts w:cs="Calibri" w:hint="eastAsia"/>
          <w:color w:val="auto"/>
          <w:szCs w:val="21"/>
          <w:highlight w:val="none"/>
          <w:lang w:val="en-US" w:eastAsia="zh-CN"/>
        </w:rPr>
        <w:t>③</w:t>
      </w:r>
      <w:r>
        <w:rPr>
          <w:rFonts w:ascii="宋体" w:hAnsi="宋体" w:cs="宋体" w:hint="eastAsia"/>
          <w:color w:val="auto"/>
          <w:szCs w:val="21"/>
          <w:highlight w:val="none"/>
          <w:lang w:val="en-US" w:eastAsia="zh-CN"/>
        </w:rPr>
        <w:t>非首店或</w:t>
      </w:r>
      <w:r>
        <w:rPr>
          <w:rFonts w:ascii="宋体" w:hAnsi="宋体" w:cs="宋体" w:hint="eastAsia"/>
          <w:color w:val="auto"/>
          <w:kern w:val="0"/>
          <w:szCs w:val="21"/>
          <w:highlight w:val="none"/>
          <w:lang w:val="en-US" w:eastAsia="zh-CN"/>
        </w:rPr>
        <w:t>非知名品牌/普通自有品牌机场首店可不提供</w:t>
      </w:r>
      <w:r>
        <w:rPr>
          <w:rFonts w:ascii="宋体" w:hAnsi="宋体" w:cs="宋体" w:hint="eastAsia"/>
          <w:color w:val="auto"/>
          <w:szCs w:val="21"/>
          <w:highlight w:val="none"/>
          <w:lang w:val="en-US" w:eastAsia="zh-CN"/>
        </w:rPr>
        <w:t>。</w:t>
      </w: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outlineLvl w:val="3"/>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4.3</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3"/>
      <w:bookmarkEnd w:id="4"/>
    </w:p>
    <w:p>
      <w:pPr>
        <w:pStyle w:val="a"/>
        <w:spacing w:line="360" w:lineRule="auto"/>
        <w:ind w:firstLine="420"/>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w:t>
      </w:r>
      <w:r>
        <w:rPr>
          <w:rFonts w:ascii="宋体" w:hAnsi="宋体" w:cs="宋体" w:hint="eastAsia"/>
          <w:b w:val="0"/>
          <w:bCs w:val="0"/>
          <w:color w:val="auto"/>
          <w:sz w:val="21"/>
          <w:szCs w:val="21"/>
          <w:highlight w:val="none"/>
        </w:rPr>
        <w:t>计划书，方案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eastAsia="zh-CN"/>
        </w:rPr>
        <w:t>，</w:t>
      </w:r>
      <w:r>
        <w:rPr>
          <w:rFonts w:ascii="宋体" w:hAnsi="宋体" w:cs="宋体" w:hint="eastAsia"/>
          <w:b w:val="0"/>
          <w:bCs w:val="0"/>
          <w:color w:val="auto"/>
          <w:sz w:val="21"/>
          <w:szCs w:val="21"/>
          <w:highlight w:val="none"/>
        </w:rPr>
        <w:t>加盖公章。</w:t>
      </w:r>
    </w:p>
    <w:p>
      <w:pPr>
        <w:pStyle w:val="a"/>
        <w:spacing w:line="360" w:lineRule="auto"/>
        <w:rPr>
          <w:rFonts w:ascii="宋体" w:eastAsia="宋体" w:hAnsi="宋体" w:cs="宋体" w:hint="eastAsia"/>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3"/>
        <w:rPr>
          <w:rFonts w:ascii="宋体" w:eastAsia="宋体" w:hAnsi="宋体" w:cs="宋体" w:hint="default"/>
          <w:color w:val="auto"/>
          <w:szCs w:val="21"/>
          <w:highlight w:val="none"/>
          <w:lang w:val="en-US" w:eastAsia="zh-CN"/>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4本项目店铺装修设计效果图</w:t>
      </w:r>
    </w:p>
    <w:p>
      <w:pPr>
        <w:spacing w:line="360" w:lineRule="auto"/>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8"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8"/>
      <w:r>
        <w:rPr>
          <w:rFonts w:ascii="宋体" w:hAnsi="宋体" w:cs="宋体" w:hint="eastAsia"/>
          <w:b/>
          <w:bCs/>
          <w:color w:val="auto"/>
          <w:szCs w:val="21"/>
          <w:highlight w:val="none"/>
        </w:rPr>
        <w:t>情况</w:t>
      </w:r>
    </w:p>
    <w:p>
      <w:pPr>
        <w:spacing w:line="360" w:lineRule="auto"/>
        <w:outlineLvl w:val="3"/>
        <w:rPr>
          <w:rFonts w:ascii="宋体" w:hAnsi="宋体" w:cs="宋体" w:hint="eastAsia"/>
          <w:color w:val="auto"/>
          <w:szCs w:val="21"/>
          <w:highlight w:val="none"/>
          <w:lang w:val="en-US" w:eastAsia="zh-CN"/>
        </w:rPr>
      </w:pPr>
      <w:r>
        <w:rPr>
          <w:rFonts w:ascii="宋体" w:hAnsi="宋体" w:cs="宋体"/>
          <w:color w:val="auto"/>
          <w:szCs w:val="21"/>
          <w:highlight w:val="none"/>
        </w:rPr>
        <w:t>5.1</w:t>
      </w:r>
      <w:r>
        <w:rPr>
          <w:rFonts w:ascii="宋体" w:hAnsi="宋体" w:cs="宋体" w:hint="eastAsia"/>
          <w:color w:val="auto"/>
          <w:szCs w:val="21"/>
          <w:highlight w:val="none"/>
          <w:lang w:val="en-US" w:eastAsia="zh-CN"/>
        </w:rPr>
        <w:t>品牌知名度</w:t>
      </w:r>
    </w:p>
    <w:p>
      <w:pPr>
        <w:pStyle w:val="a"/>
        <w:ind w:firstLine="420"/>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kern w:val="2"/>
          <w:sz w:val="21"/>
          <w:szCs w:val="21"/>
          <w:highlight w:val="none"/>
          <w:lang w:val="en-US" w:eastAsia="zh-CN" w:bidi="ar-SA"/>
        </w:rPr>
        <w:t>响应人可提供但不限于品牌介绍、</w:t>
      </w:r>
      <w:r>
        <w:rPr>
          <w:rFonts w:ascii="宋体" w:eastAsia="宋体" w:hAnsi="宋体" w:cs="宋体" w:hint="eastAsia"/>
          <w:color w:val="auto"/>
          <w:kern w:val="2"/>
          <w:sz w:val="21"/>
          <w:szCs w:val="21"/>
          <w:highlight w:val="none"/>
          <w:lang w:val="en-US" w:eastAsia="zh-CN" w:bidi="ar-SA"/>
        </w:rPr>
        <w:t>品牌产品特色、针对的客户群、商品价格区间</w:t>
      </w:r>
      <w:r>
        <w:rPr>
          <w:rFonts w:ascii="宋体" w:hAnsi="宋体" w:cs="宋体" w:hint="eastAsia"/>
          <w:color w:val="auto"/>
          <w:kern w:val="2"/>
          <w:sz w:val="21"/>
          <w:szCs w:val="21"/>
          <w:highlight w:val="none"/>
          <w:lang w:val="en-US" w:eastAsia="zh-CN" w:bidi="ar-SA"/>
        </w:rPr>
        <w:t>、</w:t>
      </w:r>
      <w:r>
        <w:rPr>
          <w:rFonts w:ascii="宋体" w:eastAsia="宋体" w:hAnsi="宋体" w:cs="宋体" w:hint="eastAsia"/>
          <w:color w:val="auto"/>
          <w:kern w:val="2"/>
          <w:sz w:val="21"/>
          <w:szCs w:val="21"/>
          <w:highlight w:val="none"/>
          <w:lang w:val="en-US" w:eastAsia="zh-CN" w:bidi="ar-SA"/>
        </w:rPr>
        <w:t>是否具有四川本地特色等。被纳入省级及以上《非物质文化遗产名录》（如有）</w:t>
      </w:r>
      <w:r>
        <w:rPr>
          <w:rFonts w:ascii="宋体" w:hAnsi="宋体" w:cs="宋体" w:hint="eastAsia"/>
          <w:color w:val="auto"/>
          <w:kern w:val="2"/>
          <w:sz w:val="21"/>
          <w:szCs w:val="21"/>
          <w:highlight w:val="none"/>
          <w:lang w:val="en-US" w:eastAsia="zh-CN" w:bidi="ar-SA"/>
        </w:rPr>
        <w:t>，加盖公章</w:t>
      </w:r>
      <w:r>
        <w:rPr>
          <w:rFonts w:ascii="宋体" w:eastAsia="宋体" w:hAnsi="宋体" w:cs="宋体" w:hint="eastAsia"/>
          <w:color w:val="auto"/>
          <w:kern w:val="2"/>
          <w:sz w:val="21"/>
          <w:szCs w:val="21"/>
          <w:highlight w:val="none"/>
          <w:lang w:val="en-US" w:eastAsia="zh-CN" w:bidi="ar-SA"/>
        </w:rPr>
        <w:t>。</w:t>
      </w:r>
    </w:p>
    <w:p>
      <w:pPr>
        <w:pStyle w:val="ListParagraph"/>
        <w:numPr>
          <w:ilvl w:val="0"/>
          <w:numId w:val="2"/>
        </w:num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outlineLvl w:val="3"/>
        <w:rPr>
          <w:rFonts w:ascii="宋体" w:eastAsia="宋体" w:hAnsi="宋体" w:cs="宋体" w:hint="default"/>
          <w:color w:val="auto"/>
          <w:szCs w:val="21"/>
          <w:highlight w:val="none"/>
          <w:lang w:val="en-US" w:eastAsia="zh-CN"/>
        </w:rPr>
      </w:pPr>
      <w:r>
        <w:rPr>
          <w:rFonts w:ascii="宋体" w:eastAsia="宋体" w:hAnsi="宋体" w:cs="宋体"/>
          <w:color w:val="auto"/>
          <w:szCs w:val="21"/>
          <w:highlight w:val="none"/>
        </w:rPr>
        <w:t>5.2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p>
    <w:p>
      <w:pPr>
        <w:spacing w:line="360" w:lineRule="auto"/>
        <w:ind w:left="0" w:firstLine="210"/>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lang w:val="en-US" w:eastAsia="zh-CN"/>
        </w:rPr>
        <w:t>5</w:t>
      </w:r>
      <w:r>
        <w:rPr>
          <w:rFonts w:asciiTheme="minorEastAsia" w:eastAsiaTheme="minorEastAsia" w:hAnsiTheme="minorEastAsia" w:cs="宋体" w:hint="eastAsia"/>
          <w:color w:val="auto"/>
          <w:szCs w:val="21"/>
          <w:highlight w:val="none"/>
        </w:rPr>
        <w:t>.</w:t>
      </w:r>
      <w:r>
        <w:rPr>
          <w:rFonts w:asciiTheme="minorEastAsia" w:eastAsiaTheme="minorEastAsia" w:hAnsiTheme="minorEastAsia" w:cs="宋体" w:hint="eastAsia"/>
          <w:color w:val="auto"/>
          <w:szCs w:val="21"/>
          <w:highlight w:val="none"/>
          <w:lang w:val="en-US" w:eastAsia="zh-CN"/>
        </w:rPr>
        <w:t>2</w:t>
      </w:r>
      <w:r>
        <w:rPr>
          <w:rFonts w:asciiTheme="minorEastAsia" w:eastAsiaTheme="minorEastAsia" w:hAnsiTheme="minorEastAsia" w:cs="宋体" w:hint="eastAsia"/>
          <w:color w:val="auto"/>
          <w:szCs w:val="21"/>
          <w:highlight w:val="none"/>
        </w:rPr>
        <w:t>布局列表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2025年3月31日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val="en-US"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rFonts w:ascii="宋体" w:eastAsia="宋体" w:hAnsi="宋体" w:cs="宋体" w:hint="eastAsia"/>
          <w:color w:val="auto"/>
          <w:kern w:val="2"/>
          <w:szCs w:val="21"/>
          <w:highlight w:val="none"/>
          <w:lang/>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p>
      <w:pPr>
        <w:pStyle w:val="a"/>
        <w:rPr>
          <w:highlight w:val="none"/>
        </w:rPr>
      </w:pPr>
    </w:p>
    <w:tbl>
      <w:tblPr>
        <w:tblStyle w:val="TableNormal"/>
        <w:tblpPr w:leftFromText="180" w:rightFromText="180" w:vertAnchor="text" w:horzAnchor="page" w:tblpX="2318" w:tblpY="306"/>
        <w:tblOverlap w:val="never"/>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7"/>
        <w:gridCol w:w="1497"/>
        <w:gridCol w:w="1471"/>
        <w:gridCol w:w="2058"/>
        <w:gridCol w:w="1977"/>
      </w:tblGrid>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867" w:type="dxa"/>
            <w:vAlign w:val="center"/>
          </w:tcPr>
          <w:p>
            <w:pPr>
              <w:spacing w:line="360" w:lineRule="auto"/>
              <w:ind w:firstLine="0"/>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1497"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0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hAnsiTheme="minorEastAsia" w:cstheme="minorEastAsia" w:hint="eastAsia"/>
                <w:b/>
                <w:bCs/>
                <w:color w:val="auto"/>
                <w:szCs w:val="21"/>
                <w:highlight w:val="none"/>
              </w:rPr>
              <w:t>在营门店</w:t>
            </w:r>
            <w:r>
              <w:rPr>
                <w:rFonts w:asciiTheme="minorEastAsia" w:eastAsiaTheme="minorEastAsia" w:hAnsiTheme="minorEastAsia" w:cstheme="minorEastAsia" w:hint="eastAsia"/>
                <w:b/>
                <w:bCs/>
                <w:color w:val="auto"/>
                <w:szCs w:val="21"/>
                <w:highlight w:val="none"/>
              </w:rPr>
              <w:t>数量</w:t>
            </w:r>
          </w:p>
        </w:tc>
        <w:tc>
          <w:tcPr>
            <w:tcW w:w="1977"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9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0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977"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058"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977"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p>
        </w:tc>
        <w:tc>
          <w:tcPr>
            <w:tcW w:w="20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05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05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870"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2025年3月31日，</w:t>
            </w:r>
            <w:r>
              <w:rPr>
                <w:rFonts w:hint="eastAsia"/>
                <w:b/>
                <w:bCs/>
                <w:color w:val="auto"/>
                <w:szCs w:val="21"/>
                <w:highlight w:val="none"/>
                <w:u w:val="single"/>
                <w:lang w:val="en-US" w:eastAsia="zh-CN"/>
              </w:rPr>
              <w:t xml:space="preserve">            （品牌名称）在</w:t>
            </w:r>
            <w:r>
              <w:rPr>
                <w:rFonts w:ascii="宋体" w:hAnsi="宋体" w:cs="宋体" w:hint="eastAsia"/>
                <w:b/>
                <w:bCs/>
                <w:color w:val="auto"/>
                <w:kern w:val="0"/>
                <w:szCs w:val="21"/>
                <w:highlight w:val="none"/>
                <w:lang/>
              </w:rPr>
              <w:t>国内省会城市及直辖市、深圳市区、港澳台</w:t>
            </w:r>
            <w:r>
              <w:rPr>
                <w:rFonts w:ascii="宋体" w:hAnsi="宋体" w:cs="宋体" w:hint="eastAsia"/>
                <w:b/>
                <w:bCs/>
                <w:color w:val="auto"/>
                <w:kern w:val="0"/>
                <w:sz w:val="21"/>
                <w:szCs w:val="21"/>
                <w:highlight w:val="none"/>
                <w:lang w:val="en-US" w:eastAsia="zh-CN"/>
              </w:rPr>
              <w:t>商业综合体</w:t>
            </w:r>
            <w:r>
              <w:rPr>
                <w:rFonts w:ascii="宋体" w:hAnsi="宋体" w:cs="宋体" w:hint="eastAsia"/>
                <w:b/>
                <w:bCs/>
                <w:color w:val="auto"/>
                <w:kern w:val="0"/>
                <w:szCs w:val="21"/>
                <w:highlight w:val="none"/>
                <w:lang w:val="en-US" w:eastAsia="zh-CN"/>
              </w:rPr>
              <w:t>布局</w:t>
            </w:r>
            <w:r>
              <w:rPr>
                <w:rFonts w:hint="eastAsia"/>
                <w:b/>
                <w:bCs/>
                <w:color w:val="auto"/>
                <w:szCs w:val="21"/>
                <w:highlight w:val="none"/>
                <w:lang w:val="en-US" w:eastAsia="zh-CN"/>
              </w:rPr>
              <w:t>共开设</w:t>
            </w:r>
            <w:r>
              <w:rPr>
                <w:rFonts w:hint="eastAsia"/>
                <w:b/>
                <w:bCs/>
                <w:color w:val="auto"/>
                <w:szCs w:val="21"/>
                <w:highlight w:val="none"/>
                <w:u w:val="single"/>
              </w:rPr>
              <w:t xml:space="preserve">    </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b/>
                <w:bCs/>
                <w:color w:val="auto"/>
                <w:highlight w:val="none"/>
                <w:lang w:eastAsia="zh-CN"/>
              </w:rPr>
              <w:t>。</w:t>
            </w:r>
          </w:p>
        </w:tc>
      </w:tr>
    </w:tbl>
    <w:p>
      <w:pPr>
        <w:spacing w:line="360" w:lineRule="auto"/>
        <w:jc w:val="both"/>
        <w:rPr>
          <w:rFonts w:ascii="宋体" w:hAnsi="宋体" w:cs="宋体" w:hint="eastAsia"/>
          <w:color w:val="auto"/>
          <w:szCs w:val="21"/>
          <w:highlight w:val="none"/>
        </w:rPr>
      </w:pPr>
      <w:r>
        <w:rPr>
          <w:rFonts w:ascii="宋体" w:hAnsi="宋体" w:cs="宋体" w:hint="eastAsia"/>
          <w:color w:val="auto"/>
          <w:szCs w:val="21"/>
          <w:highlight w:val="none"/>
          <w:lang w:val="en-US" w:eastAsia="zh-CN"/>
        </w:rPr>
        <w:t xml:space="preserve">                                                                    </w:t>
      </w: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spacing w:line="360" w:lineRule="auto"/>
        <w:jc w:val="left"/>
        <w:rPr>
          <w:rFonts w:ascii="宋体" w:hAnsi="宋体" w:cs="宋体" w:hint="eastAsia"/>
          <w:b/>
          <w:bCs/>
          <w:color w:val="auto"/>
          <w:szCs w:val="21"/>
          <w:highlight w:val="none"/>
        </w:rPr>
      </w:pPr>
    </w:p>
    <w:p>
      <w:pPr>
        <w:pStyle w:val="TableofAuthorities"/>
        <w:rPr>
          <w:rFonts w:ascii="宋体" w:hAnsi="宋体" w:cs="宋体" w:hint="eastAsia"/>
          <w:b/>
          <w:bCs/>
          <w:color w:val="auto"/>
          <w:szCs w:val="21"/>
          <w:highlight w:val="none"/>
          <w:lang w:eastAsia="zh-CN"/>
        </w:rPr>
      </w:pPr>
    </w:p>
    <w:p>
      <w:pPr>
        <w:rPr>
          <w:rFonts w:ascii="宋体" w:hAnsi="宋体" w:cs="宋体" w:hint="eastAsia"/>
          <w:b/>
          <w:bCs/>
          <w:color w:val="auto"/>
          <w:szCs w:val="21"/>
          <w:highlight w:val="none"/>
          <w:lang w:eastAsia="zh-CN"/>
        </w:rPr>
      </w:pPr>
    </w:p>
    <w:p>
      <w:pPr>
        <w:pStyle w:val="TableofAuthorities"/>
        <w:rPr>
          <w:rFonts w:ascii="宋体" w:hAnsi="宋体" w:cs="宋体" w:hint="eastAsia"/>
          <w:b/>
          <w:bCs/>
          <w:color w:val="auto"/>
          <w:szCs w:val="21"/>
          <w:highlight w:val="none"/>
          <w:lang w:eastAsia="zh-CN"/>
        </w:rPr>
      </w:pPr>
    </w:p>
    <w:p>
      <w:pPr>
        <w:rPr>
          <w:rFonts w:hint="eastAsia"/>
          <w:highlight w:val="none"/>
          <w:lang w:eastAsia="zh-CN"/>
        </w:rPr>
      </w:pPr>
    </w:p>
    <w:p>
      <w:pPr>
        <w:rPr>
          <w:rFonts w:ascii="宋体" w:hAnsi="宋体" w:cs="宋体" w:hint="eastAsia"/>
          <w:b/>
          <w:bCs/>
          <w:color w:val="auto"/>
          <w:szCs w:val="21"/>
          <w:highlight w:val="none"/>
          <w:lang w:eastAsia="zh-CN"/>
        </w:rPr>
      </w:pPr>
    </w:p>
    <w:p>
      <w:pPr>
        <w:pStyle w:val="TableofAuthorities"/>
        <w:rPr>
          <w:rFonts w:ascii="宋体" w:hAnsi="宋体" w:cs="宋体" w:hint="eastAsia"/>
          <w:b/>
          <w:bCs/>
          <w:color w:val="auto"/>
          <w:szCs w:val="21"/>
          <w:highlight w:val="none"/>
          <w:lang w:eastAsia="zh-CN"/>
        </w:rPr>
      </w:pPr>
    </w:p>
    <w:p>
      <w:pPr>
        <w:rPr>
          <w:rFonts w:ascii="宋体" w:hAnsi="宋体" w:cs="宋体" w:hint="eastAsia"/>
          <w:b/>
          <w:bCs/>
          <w:color w:val="auto"/>
          <w:szCs w:val="21"/>
          <w:highlight w:val="none"/>
          <w:lang w:eastAsia="zh-CN"/>
        </w:rPr>
      </w:pPr>
    </w:p>
    <w:p>
      <w:pPr>
        <w:spacing w:line="360" w:lineRule="auto"/>
        <w:outlineLvl w:val="3"/>
        <w:rPr>
          <w:rFonts w:ascii="宋体" w:hAnsi="宋体" w:cs="宋体" w:hint="eastAsia"/>
          <w:color w:val="auto"/>
          <w:szCs w:val="21"/>
          <w:highlight w:val="none"/>
          <w:lang w:eastAsia="zh-CN"/>
        </w:rPr>
      </w:pPr>
      <w:r>
        <w:rPr>
          <w:rFonts w:ascii="宋体" w:eastAsia="宋体" w:hAnsi="宋体" w:cs="宋体"/>
          <w:color w:val="auto"/>
          <w:szCs w:val="21"/>
          <w:highlight w:val="none"/>
        </w:rPr>
        <w:t>5.2</w:t>
      </w:r>
      <w:r>
        <w:rPr>
          <w:rFonts w:ascii="宋体" w:hAnsi="宋体" w:cs="宋体" w:hint="eastAsia"/>
          <w:color w:val="auto"/>
          <w:szCs w:val="21"/>
          <w:highlight w:val="none"/>
          <w:lang w:val="en-US" w:eastAsia="zh-CN"/>
        </w:rPr>
        <w:t>.2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r>
        <w:rPr>
          <w:rFonts w:ascii="宋体" w:hAnsi="宋体" w:cs="宋体" w:hint="eastAsia"/>
          <w:color w:val="auto"/>
          <w:kern w:val="2"/>
          <w:szCs w:val="21"/>
          <w:highlight w:val="none"/>
          <w:lang w:val="en-US" w:eastAsia="zh-CN"/>
        </w:rPr>
        <w:t>的</w:t>
      </w:r>
      <w:r>
        <w:rPr>
          <w:rFonts w:ascii="宋体" w:hAnsi="宋体" w:cs="宋体" w:hint="eastAsia"/>
          <w:color w:val="auto"/>
          <w:kern w:val="2"/>
          <w:szCs w:val="21"/>
          <w:highlight w:val="none"/>
          <w:lang/>
        </w:rPr>
        <w:t>证明文件</w:t>
      </w:r>
      <w:r>
        <w:rPr>
          <w:rFonts w:ascii="宋体" w:hAnsi="宋体" w:cs="宋体" w:hint="eastAsia"/>
          <w:color w:val="auto"/>
          <w:szCs w:val="21"/>
          <w:highlight w:val="none"/>
        </w:rPr>
        <w:t>（包括但不限于</w:t>
      </w:r>
      <w:r>
        <w:rPr>
          <w:rFonts w:ascii="宋体" w:hAnsi="宋体" w:cs="宋体" w:hint="eastAsia"/>
          <w:color w:val="auto"/>
          <w:kern w:val="2"/>
          <w:szCs w:val="21"/>
          <w:highlight w:val="none"/>
          <w:lang/>
        </w:rPr>
        <w:t>：</w:t>
      </w:r>
      <w:r>
        <w:rPr>
          <w:rFonts w:ascii="宋体" w:hAnsi="宋体" w:cs="宋体" w:hint="eastAsia"/>
          <w:color w:val="auto"/>
          <w:szCs w:val="21"/>
          <w:highlight w:val="none"/>
        </w:rPr>
        <w:t>合同复印件或业主方证明</w:t>
      </w:r>
      <w:r>
        <w:rPr>
          <w:rFonts w:ascii="宋体" w:hAnsi="宋体" w:cs="宋体" w:hint="eastAsia"/>
          <w:color w:val="auto"/>
          <w:szCs w:val="21"/>
          <w:highlight w:val="none"/>
          <w:lang w:val="en-US" w:eastAsia="zh-CN"/>
        </w:rPr>
        <w:t>等</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加盖</w:t>
      </w:r>
      <w:r>
        <w:rPr>
          <w:rFonts w:ascii="宋体" w:hAnsi="宋体" w:cs="宋体" w:hint="eastAsia"/>
          <w:color w:val="auto"/>
          <w:kern w:val="2"/>
          <w:szCs w:val="21"/>
          <w:highlight w:val="none"/>
          <w:lang w:val="en-US" w:eastAsia="zh-CN"/>
        </w:rPr>
        <w:t>响应人</w:t>
      </w:r>
      <w:r>
        <w:rPr>
          <w:rFonts w:ascii="宋体" w:hAnsi="宋体" w:cs="宋体" w:hint="eastAsia"/>
          <w:color w:val="auto"/>
          <w:kern w:val="2"/>
          <w:szCs w:val="21"/>
          <w:highlight w:val="none"/>
          <w:lang/>
        </w:rPr>
        <w:t>公章</w:t>
      </w:r>
      <w:r>
        <w:rPr>
          <w:rFonts w:ascii="宋体" w:hAnsi="宋体" w:cs="宋体" w:hint="eastAsia"/>
          <w:color w:val="auto"/>
          <w:szCs w:val="21"/>
          <w:highlight w:val="none"/>
          <w:lang w:eastAsia="zh-CN"/>
        </w:rPr>
        <w:t>。</w:t>
      </w:r>
    </w:p>
    <w:p>
      <w:pPr>
        <w:pStyle w:val="TableofAuthorities"/>
        <w:rPr>
          <w:rFonts w:hint="default"/>
          <w:highlight w:val="none"/>
          <w:lang w:val="en-US" w:eastAsia="zh-CN"/>
        </w:rPr>
      </w:pPr>
    </w:p>
    <w:p>
      <w:pPr>
        <w:rPr>
          <w:rFonts w:ascii="宋体" w:hAnsi="宋体" w:cs="宋体"/>
          <w:color w:val="auto"/>
          <w:sz w:val="21"/>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ListParagraph"/>
        <w:spacing w:line="360" w:lineRule="auto"/>
        <w:ind w:firstLine="0"/>
        <w:jc w:val="left"/>
        <w:outlineLvl w:val="3"/>
        <w:rPr>
          <w:rFonts w:ascii="宋体" w:hAnsi="宋体" w:cs="宋体" w:hint="default"/>
          <w:b w:val="0"/>
          <w:bCs w:val="0"/>
          <w:color w:val="auto"/>
          <w:kern w:val="2"/>
          <w:szCs w:val="21"/>
          <w:highlight w:val="none"/>
          <w:lang w:val="en-US" w:eastAsia="zh-CN" w:bidi="ar-SA"/>
        </w:rPr>
      </w:pPr>
      <w:r>
        <w:rPr>
          <w:rFonts w:ascii="宋体" w:hAnsi="宋体" w:cs="宋体" w:hint="default"/>
          <w:b w:val="0"/>
          <w:bCs w:val="0"/>
          <w:color w:val="auto"/>
          <w:kern w:val="2"/>
          <w:szCs w:val="21"/>
          <w:highlight w:val="none"/>
          <w:lang w:val="en-US" w:eastAsia="zh-CN" w:bidi="ar-SA"/>
        </w:rPr>
        <w:t>5.3 品牌坪效（单店年销售额/该单店面积所占平方米数）</w:t>
      </w:r>
    </w:p>
    <w:p>
      <w:pPr>
        <w:pStyle w:val="ListParagraph"/>
        <w:spacing w:line="360" w:lineRule="auto"/>
        <w:ind w:firstLine="0"/>
        <w:jc w:val="left"/>
        <w:outlineLvl w:val="3"/>
        <w:rPr>
          <w:rFonts w:ascii="宋体" w:hAnsi="宋体" w:cs="宋体" w:hint="eastAsia"/>
          <w:b w:val="0"/>
          <w:bCs w:val="0"/>
          <w:color w:val="auto"/>
          <w:kern w:val="0"/>
          <w:szCs w:val="21"/>
          <w:highlight w:val="none"/>
          <w:lang w:val="en-US" w:eastAsia="zh-CN"/>
        </w:rPr>
      </w:pPr>
      <w:r>
        <w:rPr>
          <w:rFonts w:ascii="宋体" w:hAnsi="宋体" w:cs="宋体" w:hint="eastAsia"/>
          <w:b w:val="0"/>
          <w:bCs w:val="0"/>
          <w:color w:val="auto"/>
          <w:kern w:val="0"/>
          <w:szCs w:val="21"/>
          <w:highlight w:val="none"/>
          <w:lang w:val="en-US" w:eastAsia="zh-CN"/>
        </w:rPr>
        <w:t>响应人须提供购物中心或机场业主方提供的</w:t>
      </w:r>
      <w:r>
        <w:rPr>
          <w:rFonts w:ascii="宋体" w:hAnsi="宋体" w:cs="宋体" w:hint="eastAsia"/>
          <w:color w:val="auto"/>
          <w:szCs w:val="21"/>
          <w:highlight w:val="none"/>
          <w:lang w:val="en-US" w:eastAsia="zh-CN"/>
        </w:rPr>
        <w:t>2024年度或</w:t>
      </w:r>
      <w:r>
        <w:rPr>
          <w:rFonts w:ascii="宋体" w:hAnsi="宋体" w:cs="宋体" w:hint="eastAsia"/>
          <w:color w:val="auto"/>
          <w:szCs w:val="21"/>
          <w:highlight w:val="yellow"/>
          <w:lang w:val="en-US" w:eastAsia="zh-CN"/>
        </w:rPr>
        <w:t>2024年X月-2025年X月</w:t>
      </w:r>
      <w:r>
        <w:rPr>
          <w:rFonts w:ascii="宋体" w:hAnsi="宋体" w:cs="宋体" w:hint="eastAsia"/>
          <w:b w:val="0"/>
          <w:bCs w:val="0"/>
          <w:color w:val="auto"/>
          <w:kern w:val="0"/>
          <w:szCs w:val="21"/>
          <w:highlight w:val="none"/>
          <w:lang w:val="en-US" w:eastAsia="zh-CN"/>
        </w:rPr>
        <w:t>（满12个月）品牌坪效的证明材料，加盖公章。</w:t>
      </w:r>
    </w:p>
    <w:p>
      <w:pPr>
        <w:spacing w:line="360" w:lineRule="auto"/>
        <w:rPr>
          <w:rFonts w:ascii="宋体" w:eastAsia="宋体" w:hAnsi="宋体" w:cs="宋体" w:hint="eastAsia"/>
          <w:b w:val="0"/>
          <w:bCs w:val="0"/>
          <w:color w:val="auto"/>
          <w:szCs w:val="21"/>
          <w:highlight w:val="none"/>
          <w:lang w:eastAsia="zh-CN"/>
        </w:rPr>
      </w:pPr>
      <w:r>
        <w:rPr>
          <w:rFonts w:ascii="宋体" w:hAnsi="宋体" w:cs="宋体" w:hint="eastAsia"/>
          <w:b w:val="0"/>
          <w:bCs w:val="0"/>
          <w:color w:val="auto"/>
          <w:szCs w:val="21"/>
          <w:highlight w:val="none"/>
          <w:lang w:val="en-US" w:eastAsia="zh-CN"/>
        </w:rPr>
        <w:t>若为知名连锁品牌，则对品牌官方出具的证明文件予以认可，需加盖品牌方公章</w:t>
      </w:r>
      <w:r>
        <w:rPr>
          <w:rFonts w:ascii="宋体" w:hAnsi="宋体" w:cs="宋体" w:hint="eastAsia"/>
          <w:b w:val="0"/>
          <w:bCs w:val="0"/>
          <w:color w:val="auto"/>
          <w:szCs w:val="21"/>
          <w:highlight w:val="none"/>
          <w:lang w:eastAsia="zh-CN"/>
        </w:rPr>
        <w:t>。</w:t>
      </w:r>
    </w:p>
    <w:p>
      <w:pPr>
        <w:pStyle w:val="ListParagraph"/>
        <w:spacing w:line="360" w:lineRule="auto"/>
        <w:ind w:firstLine="0"/>
        <w:jc w:val="left"/>
        <w:rPr>
          <w:rFonts w:ascii="宋体" w:hAnsi="宋体" w:cs="宋体" w:hint="eastAsia"/>
          <w:b w:val="0"/>
          <w:bCs w:val="0"/>
          <w:color w:val="auto"/>
          <w:kern w:val="0"/>
          <w:szCs w:val="21"/>
          <w:highlight w:val="none"/>
          <w:lang w:val="en-US" w:eastAsia="zh-CN"/>
        </w:rPr>
      </w:pPr>
    </w:p>
    <w:p>
      <w:pPr>
        <w:pStyle w:val="ListParagraph"/>
        <w:spacing w:line="360" w:lineRule="auto"/>
        <w:ind w:firstLine="0"/>
        <w:jc w:val="center"/>
        <w:rPr>
          <w:rFonts w:ascii="宋体" w:hAnsi="宋体" w:cs="宋体" w:hint="eastAsia"/>
          <w:b/>
          <w:bCs/>
          <w:color w:val="auto"/>
          <w:kern w:val="0"/>
          <w:szCs w:val="21"/>
          <w:highlight w:val="none"/>
          <w:lang/>
        </w:rPr>
      </w:pPr>
    </w:p>
    <w:p>
      <w:pPr>
        <w:rPr>
          <w:color w:val="auto"/>
          <w:sz w:val="21"/>
          <w:szCs w:val="21"/>
          <w:highlight w:val="none"/>
        </w:rPr>
      </w:pPr>
      <w:r>
        <w:rPr>
          <w:color w:val="auto"/>
          <w:sz w:val="21"/>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eastAsia="宋体" w:hAnsi="宋体" w:cs="宋体" w:hint="default"/>
          <w:color w:val="auto"/>
          <w:sz w:val="21"/>
          <w:szCs w:val="21"/>
          <w:highlight w:val="none"/>
          <w:lang w:val="en-US" w:eastAsia="zh-CN"/>
        </w:rPr>
      </w:pPr>
      <w:r>
        <w:rPr>
          <w:rFonts w:ascii="宋体" w:eastAsia="宋体" w:hAnsi="宋体" w:cs="宋体" w:hint="default"/>
          <w:color w:val="auto"/>
          <w:sz w:val="21"/>
          <w:szCs w:val="21"/>
          <w:highlight w:val="none"/>
          <w:lang w:val="en-US" w:eastAsia="zh-CN"/>
        </w:rPr>
        <w:t>5.4品牌实力与产品适宜性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宋体" w:cs="Times New Roman" w:hint="default"/>
          <w:color w:val="auto"/>
          <w:sz w:val="21"/>
          <w:szCs w:val="21"/>
          <w:highlight w:val="none"/>
          <w:lang w:val="en-US" w:eastAsia="zh-CN"/>
        </w:rPr>
      </w:pPr>
      <w:r>
        <w:rPr>
          <w:rFonts w:ascii="宋体" w:hAnsi="宋体" w:cs="宋体" w:hint="eastAsia"/>
          <w:color w:val="auto"/>
          <w:kern w:val="0"/>
          <w:szCs w:val="21"/>
          <w:highlight w:val="none"/>
          <w:lang w:val="en-US" w:eastAsia="zh-CN"/>
        </w:rPr>
        <w:t>响应人</w:t>
      </w:r>
      <w:r>
        <w:rPr>
          <w:rFonts w:ascii="宋体" w:hAnsi="宋体" w:cs="宋体" w:hint="eastAsia"/>
          <w:color w:val="auto"/>
          <w:szCs w:val="21"/>
          <w:highlight w:val="none"/>
          <w:lang w:val="en-US" w:eastAsia="zh-CN"/>
        </w:rPr>
        <w:t>可提供但不限于</w:t>
      </w:r>
      <w:r>
        <w:rPr>
          <w:rFonts w:ascii="宋体" w:hAnsi="宋体" w:cs="宋体" w:hint="eastAsia"/>
          <w:color w:val="auto"/>
          <w:szCs w:val="21"/>
          <w:highlight w:val="none"/>
        </w:rPr>
        <w:t>品牌定位、品牌历史、</w:t>
      </w:r>
      <w:r>
        <w:rPr>
          <w:rFonts w:ascii="宋体" w:hAnsi="宋体" w:cs="宋体" w:hint="eastAsia"/>
          <w:color w:val="auto"/>
          <w:szCs w:val="21"/>
          <w:highlight w:val="none"/>
          <w:lang w:val="en-US" w:eastAsia="zh-CN"/>
        </w:rPr>
        <w:t>艺人代言、</w:t>
      </w:r>
      <w:r>
        <w:rPr>
          <w:rFonts w:ascii="宋体" w:hAnsi="宋体" w:cs="宋体" w:hint="eastAsia"/>
          <w:color w:val="auto"/>
          <w:szCs w:val="21"/>
          <w:highlight w:val="none"/>
        </w:rPr>
        <w:t>产品合作</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竞争力</w:t>
      </w:r>
      <w:r>
        <w:rPr>
          <w:rFonts w:ascii="宋体" w:hAnsi="宋体" w:cs="宋体" w:hint="eastAsia"/>
          <w:color w:val="auto"/>
          <w:szCs w:val="21"/>
          <w:highlight w:val="none"/>
        </w:rPr>
        <w:t>及联名情况、品牌特色、文化内涵、经济价值</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IP形象开发（如有）、业内所获奖项、</w:t>
      </w:r>
      <w:r>
        <w:rPr>
          <w:rFonts w:ascii="宋体" w:hAnsi="宋体" w:cs="宋体" w:hint="eastAsia"/>
          <w:color w:val="auto"/>
          <w:szCs w:val="21"/>
          <w:highlight w:val="none"/>
        </w:rPr>
        <w:t>可持续发展</w:t>
      </w:r>
      <w:r>
        <w:rPr>
          <w:rFonts w:ascii="宋体" w:hAnsi="宋体" w:cs="宋体" w:hint="eastAsia"/>
          <w:color w:val="auto"/>
          <w:szCs w:val="21"/>
          <w:highlight w:val="none"/>
          <w:lang w:val="en-US" w:eastAsia="zh-CN"/>
        </w:rPr>
        <w:t>度</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产品多样性及丰富度</w:t>
      </w:r>
      <w:r>
        <w:rPr>
          <w:rFonts w:ascii="宋体" w:hAnsi="宋体" w:cs="宋体" w:hint="eastAsia"/>
          <w:color w:val="auto"/>
          <w:szCs w:val="21"/>
          <w:highlight w:val="none"/>
        </w:rPr>
        <w:t>介绍</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新颖度、适宜性</w:t>
      </w:r>
      <w:r>
        <w:rPr>
          <w:rFonts w:ascii="宋体" w:hAnsi="宋体" w:cs="宋体" w:hint="eastAsia"/>
          <w:color w:val="auto"/>
          <w:szCs w:val="21"/>
          <w:highlight w:val="none"/>
        </w:rPr>
        <w:t>等。</w:t>
      </w:r>
      <w:r>
        <w:rPr>
          <w:rFonts w:ascii="宋体" w:hAnsi="宋体" w:cs="宋体" w:hint="eastAsia"/>
          <w:color w:val="auto"/>
          <w:szCs w:val="21"/>
          <w:highlight w:val="none"/>
          <w:lang w:val="en-US" w:eastAsia="zh-CN"/>
        </w:rPr>
        <w:t>格式自拟，加盖公章。</w:t>
      </w:r>
    </w:p>
    <w:p>
      <w:pP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br w:type="page"/>
      </w:r>
    </w:p>
    <w:p>
      <w:pPr>
        <w:numPr>
          <w:ilvl w:val="0"/>
          <w:numId w:val="3"/>
        </w:numPr>
        <w:spacing w:line="360" w:lineRule="auto"/>
        <w:outlineLvl w:val="2"/>
        <w:rPr>
          <w:rFonts w:ascii="宋体" w:eastAsia="宋体" w:hAnsi="宋体" w:cs="宋体" w:hint="eastAsia"/>
          <w:b/>
          <w:bCs/>
          <w:color w:val="auto"/>
          <w:szCs w:val="21"/>
          <w:highlight w:val="none"/>
        </w:rPr>
      </w:pP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numPr>
          <w:ilvl w:val="-1"/>
          <w:numId w:val="0"/>
        </w:numPr>
        <w:rPr>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5"/>
      <w:bookmarkEnd w:id="6"/>
      <w:bookmarkEnd w:id="7"/>
    </w:p>
    <w:p>
      <w:pPr>
        <w:spacing w:line="360" w:lineRule="auto"/>
        <w:outlineLvl w:val="1"/>
        <w:rPr>
          <w:rFonts w:ascii="宋体" w:hAnsi="宋体" w:cs="宋体"/>
          <w:b/>
          <w:bCs/>
          <w:color w:val="auto"/>
          <w:sz w:val="24"/>
          <w:highlight w:val="none"/>
        </w:rPr>
      </w:pPr>
      <w:bookmarkStart w:id="9" w:name="_Toc15677"/>
      <w:bookmarkStart w:id="10" w:name="_Toc26002"/>
      <w:r>
        <w:rPr>
          <w:rFonts w:ascii="宋体" w:hAnsi="宋体" w:cs="宋体" w:hint="eastAsia"/>
          <w:b/>
          <w:bCs/>
          <w:color w:val="auto"/>
          <w:szCs w:val="21"/>
          <w:highlight w:val="none"/>
        </w:rPr>
        <w:t>二、</w:t>
      </w:r>
      <w:bookmarkEnd w:id="9"/>
      <w:r>
        <w:rPr>
          <w:rFonts w:ascii="宋体" w:hAnsi="宋体" w:cs="宋体" w:hint="eastAsia"/>
          <w:b/>
          <w:bCs/>
          <w:color w:val="auto"/>
          <w:sz w:val="24"/>
          <w:highlight w:val="none"/>
        </w:rPr>
        <w:t>商务方案分册</w:t>
      </w:r>
      <w:bookmarkEnd w:id="10"/>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综合百货类</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签约3年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4"/>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的月保底经营费用随双流国际机场T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ED0997C3"/>
    <w:multiLevelType w:val="singleLevel"/>
    <w:tmpl w:val="ED0997C3"/>
    <w:lvl w:ilvl="0">
      <w:start w:val="6"/>
      <w:numFmt w:val="decimal"/>
      <w:lvlText w:val="%1."/>
      <w:lvlJc w:val="left"/>
      <w:pPr>
        <w:tabs>
          <w:tab w:val="left" w:pos="312"/>
        </w:tabs>
      </w:pPr>
    </w:lvl>
  </w:abstractNum>
  <w:abstractNum w:abstractNumId="2">
    <w:nsid w:val="5D7F46B3"/>
    <w:multiLevelType w:val="singleLevel"/>
    <w:tmpl w:val="5D7F46B3"/>
    <w:lvl w:ilvl="0">
      <w:start w:val="1"/>
      <w:numFmt w:val="chineseCounting"/>
      <w:suff w:val="nothing"/>
      <w:lvlText w:val="%1、"/>
      <w:lvlJc w:val="left"/>
    </w:lvl>
  </w:abstractNum>
  <w:abstractNum w:abstractNumId="3">
    <w:nsid w:val="5E607173"/>
    <w:multiLevelType w:val="singleLevel"/>
    <w:tmpl w:val="5E607173"/>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TableofAuthorities">
    <w:name w:val="table of authorities"/>
    <w:basedOn w:val="Normal"/>
    <w:next w:val="Normal"/>
    <w:qFormat/>
    <w:pPr>
      <w:ind w:left="420"/>
    </w:pPr>
    <w:rPr>
      <w:rFonts w:ascii="Times New Roman" w:eastAsia="宋体" w:hAnsi="Times New Roman" w:cs="Times New Roman"/>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28</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2024-10-08T07:14:00Z</dcterms:created>
  <dcterms:modified xsi:type="dcterms:W3CDTF">2025-04-09T08:35:32Z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