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4981"/>
      <w:r>
        <w:rPr>
          <w:rFonts w:ascii="宋体" w:hAnsi="宋体" w:cs="宋体" w:hint="eastAsia"/>
          <w:b/>
          <w:bCs/>
          <w:color w:val="auto"/>
          <w:sz w:val="30"/>
          <w:szCs w:val="30"/>
          <w:highlight w:val="none"/>
          <w:lang w:val="en-US" w:eastAsia="zh-CN"/>
        </w:rPr>
        <w:t>附件1-4</w:t>
      </w:r>
      <w:bookmarkStart w:id="1" w:name="_GoBack"/>
      <w:bookmarkEnd w:id="1"/>
      <w:r>
        <w:rPr>
          <w:rFonts w:ascii="宋体" w:hAnsi="宋体" w:cs="宋体" w:hint="eastAsia"/>
          <w:b/>
          <w:bCs/>
          <w:color w:val="auto"/>
          <w:sz w:val="30"/>
          <w:szCs w:val="30"/>
          <w:highlight w:val="none"/>
          <w:lang w:val="en-US" w:eastAsia="zh-CN"/>
        </w:rPr>
        <w:t>：商家资料清单（食品特产</w:t>
      </w:r>
      <w:r>
        <w:rPr>
          <w:rFonts w:ascii="宋体" w:hAnsi="宋体" w:cs="宋体" w:hint="eastAsia"/>
          <w:b/>
          <w:bCs/>
          <w:color w:val="auto"/>
          <w:sz w:val="28"/>
          <w:szCs w:val="28"/>
          <w:highlight w:val="none"/>
          <w:lang w:val="en-US" w:eastAsia="zh-CN"/>
        </w:rPr>
        <w:t>）</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bookmarkEnd w:id="0"/>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2" w:name="_Toc6859"/>
      <w:r>
        <w:rPr>
          <w:rFonts w:ascii="宋体" w:hAnsi="宋体" w:cs="宋体" w:hint="eastAsia"/>
          <w:b/>
          <w:bCs/>
          <w:color w:val="auto"/>
          <w:szCs w:val="21"/>
          <w:highlight w:val="none"/>
        </w:rPr>
        <w:t>（一）技术方案分册</w:t>
      </w:r>
      <w:bookmarkEnd w:id="2"/>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outlineLvl w:val="3"/>
        <w:rPr>
          <w:rFonts w:ascii="宋体" w:eastAsia="宋体" w:hAnsi="宋体" w:cs="宋体" w:hint="eastAsia"/>
          <w:color w:val="auto"/>
          <w:sz w:val="21"/>
          <w:szCs w:val="21"/>
          <w:highlight w:val="none"/>
          <w:lang w:eastAsia="zh-CN"/>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w:t>
      </w:r>
      <w:r>
        <w:rPr>
          <w:rFonts w:ascii="宋体" w:hAnsi="宋体" w:cs="宋体" w:hint="eastAsia"/>
          <w:color w:val="auto"/>
          <w:kern w:val="0"/>
          <w:sz w:val="21"/>
          <w:szCs w:val="21"/>
          <w:highlight w:val="none"/>
          <w:lang w:val="en-US" w:eastAsia="zh-CN" w:bidi="ar-SA"/>
        </w:rPr>
        <w:t>特殊消费场所</w:t>
      </w:r>
      <w:r>
        <w:rPr>
          <w:rFonts w:ascii="宋体" w:eastAsia="宋体" w:hAnsi="宋体" w:cs="宋体" w:hint="eastAsia"/>
          <w:color w:val="auto"/>
          <w:kern w:val="0"/>
          <w:sz w:val="21"/>
          <w:szCs w:val="21"/>
          <w:highlight w:val="none"/>
          <w:lang w:val="en-US" w:eastAsia="zh-CN" w:bidi="ar-SA"/>
        </w:rPr>
        <w:t>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标段投报的品牌</w:t>
      </w:r>
      <w:r>
        <w:rPr>
          <w:rFonts w:ascii="宋体" w:hAnsi="宋体" w:cs="Times New Roman" w:hint="eastAsia"/>
          <w:color w:val="auto"/>
          <w:kern w:val="0"/>
          <w:sz w:val="21"/>
          <w:szCs w:val="20"/>
          <w:highlight w:val="none"/>
          <w:lang w:val="en-US" w:eastAsia="zh-CN" w:bidi="ar-SA"/>
        </w:rPr>
        <w:t>，</w:t>
      </w:r>
      <w:r>
        <w:rPr>
          <w:rFonts w:ascii="宋体" w:eastAsia="宋体" w:hAnsi="宋体" w:cs="Times New Roman" w:hint="eastAsia"/>
          <w:color w:val="auto"/>
          <w:kern w:val="0"/>
          <w:sz w:val="21"/>
          <w:szCs w:val="20"/>
          <w:highlight w:val="none"/>
          <w:lang w:val="en-US" w:eastAsia="zh-CN" w:bidi="ar-SA"/>
        </w:rPr>
        <w:t>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rPr>
        <w:t>□</w:t>
      </w:r>
      <w:r>
        <w:rPr>
          <w:rFonts w:ascii="宋体" w:hAnsi="宋体" w:cs="宋体" w:hint="eastAsia"/>
          <w:color w:val="auto"/>
          <w:szCs w:val="21"/>
          <w:highlight w:val="none"/>
        </w:rPr>
        <w:t>若成都市</w:t>
      </w:r>
      <w:r>
        <w:rPr>
          <w:rFonts w:ascii="宋体" w:hAnsi="宋体" w:cs="宋体" w:hint="eastAsia"/>
          <w:color w:val="auto"/>
          <w:szCs w:val="21"/>
          <w:highlight w:val="none"/>
          <w:lang w:val="en-US" w:eastAsia="zh-CN"/>
        </w:rPr>
        <w:t>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省会城市或直辖市的同品牌进行对标</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w:t>
      </w:r>
      <w:r>
        <w:rPr>
          <w:rFonts w:ascii="宋体" w:hAnsi="宋体" w:cs="宋体" w:hint="eastAsia"/>
          <w:color w:val="auto"/>
          <w:szCs w:val="21"/>
          <w:highlight w:val="none"/>
          <w:lang w:val="en-US" w:eastAsia="zh-CN"/>
        </w:rPr>
        <w:t>游乐园、</w:t>
      </w:r>
      <w:r>
        <w:rPr>
          <w:rFonts w:ascii="宋体" w:hAnsi="宋体" w:cs="宋体" w:hint="eastAsia"/>
          <w:color w:val="auto"/>
          <w:kern w:val="0"/>
          <w:sz w:val="21"/>
          <w:szCs w:val="21"/>
          <w:highlight w:val="none"/>
          <w:lang w:val="en-US" w:eastAsia="zh-CN" w:bidi="ar-SA"/>
        </w:rPr>
        <w:t>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w:t>
      </w:r>
      <w:r>
        <w:rPr>
          <w:rFonts w:ascii="宋体" w:hAnsi="宋体" w:cs="宋体" w:hint="eastAsia"/>
          <w:color w:val="auto"/>
          <w:kern w:val="0"/>
          <w:sz w:val="21"/>
          <w:szCs w:val="21"/>
          <w:highlight w:val="none"/>
          <w:lang w:val="en-US" w:eastAsia="zh-CN" w:bidi="ar-SA"/>
        </w:rPr>
        <w:t>。</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人2021年度-2023年度营业收入（RMB）”和“</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如无，则提供2023年度</w:t>
      </w:r>
      <w:r>
        <w:rPr>
          <w:rFonts w:ascii="宋体" w:hAnsi="宋体" w:cs="宋体" w:hint="eastAsia"/>
          <w:color w:val="auto"/>
          <w:szCs w:val="21"/>
          <w:highlight w:val="none"/>
          <w:lang w:eastAsia="zh-CN"/>
        </w:rPr>
        <w:t>）</w:t>
      </w:r>
      <w:r>
        <w:rPr>
          <w:rFonts w:ascii="宋体" w:hAnsi="宋体" w:cs="宋体" w:hint="eastAsia"/>
          <w:color w:val="auto"/>
          <w:szCs w:val="21"/>
          <w:highlight w:val="none"/>
        </w:rPr>
        <w:t>纳税信用等级证明，</w:t>
      </w:r>
      <w:r>
        <w:rPr>
          <w:rFonts w:hint="eastAsia"/>
          <w:color w:val="auto"/>
          <w:highlight w:val="none"/>
        </w:rPr>
        <w:t>加盖公章</w:t>
      </w:r>
      <w:r>
        <w:rPr>
          <w:rFonts w:ascii="宋体" w:hAnsi="宋体" w:cs="宋体" w:hint="eastAsia"/>
          <w:color w:val="auto"/>
          <w:szCs w:val="21"/>
          <w:highlight w:val="none"/>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2025年3月31日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cs="Calibri" w:hint="eastAsia"/>
          <w:color w:val="auto"/>
          <w:szCs w:val="21"/>
          <w:highlight w:val="none"/>
          <w:lang w:val="en-US" w:eastAsia="zh-CN"/>
        </w:rPr>
        <w:t>③</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w:t>
            </w:r>
            <w:r>
              <w:rPr>
                <w:rFonts w:asciiTheme="minorEastAsia" w:eastAsiaTheme="minorEastAsia" w:hAnsiTheme="minorEastAsia" w:cstheme="minorEastAsia" w:hint="eastAsia"/>
                <w:b/>
                <w:bCs/>
                <w:color w:val="auto"/>
                <w:szCs w:val="21"/>
                <w:highlight w:val="none"/>
                <w:lang w:val="en-US" w:eastAsia="zh-CN"/>
              </w:rPr>
              <w:t>4</w:t>
            </w:r>
            <w:r>
              <w:rPr>
                <w:rFonts w:asciiTheme="minorEastAsia" w:eastAsiaTheme="minorEastAsia" w:hAnsiTheme="minorEastAsia" w:cstheme="minorEastAsia" w:hint="eastAsia"/>
                <w:b/>
                <w:bCs/>
                <w:color w:val="auto"/>
                <w:szCs w:val="21"/>
                <w:highlight w:val="none"/>
                <w:lang w:eastAsia="zh-CN"/>
              </w:rPr>
              <w:t>月</w:t>
            </w:r>
            <w:r>
              <w:rPr>
                <w:rFonts w:asciiTheme="minorEastAsia" w:eastAsiaTheme="minorEastAsia" w:hAnsiTheme="minorEastAsia" w:cstheme="minorEastAsia" w:hint="eastAsia"/>
                <w:b/>
                <w:bCs/>
                <w:color w:val="auto"/>
                <w:szCs w:val="21"/>
                <w:highlight w:val="none"/>
                <w:lang w:val="en-US" w:eastAsia="zh-CN"/>
              </w:rPr>
              <w:t>30</w:t>
            </w:r>
            <w:r>
              <w:rPr>
                <w:rFonts w:asciiTheme="minorEastAsia" w:eastAsiaTheme="minorEastAsia" w:hAnsiTheme="minorEastAsia" w:cstheme="minorEastAsia" w:hint="eastAsia"/>
                <w:b/>
                <w:bCs/>
                <w:color w:val="auto"/>
                <w:szCs w:val="21"/>
                <w:highlight w:val="none"/>
                <w:lang w:eastAsia="zh-CN"/>
              </w:rPr>
              <w:t>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b/>
                <w:bCs/>
                <w:color w:val="auto"/>
                <w:szCs w:val="21"/>
                <w:highlight w:val="none"/>
                <w:u w:val="single"/>
                <w:lang w:val="en-US" w:eastAsia="zh-CN"/>
              </w:rPr>
              <w:t xml:space="preserve">    </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hAnsi="宋体" w:cs="宋体" w:hint="eastAsia"/>
          <w:b w:val="0"/>
          <w:bCs w:val="0"/>
          <w:color w:val="auto"/>
          <w:kern w:val="0"/>
          <w:szCs w:val="21"/>
          <w:highlight w:val="none"/>
          <w:lang w:eastAsia="zh-CN"/>
        </w:rPr>
        <w:t>2025年3月31日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w:t>
            </w:r>
            <w:r>
              <w:rPr>
                <w:rFonts w:ascii="宋体" w:hAnsi="宋体" w:cs="宋体" w:hint="eastAsia"/>
                <w:b/>
                <w:bCs/>
                <w:color w:val="auto"/>
                <w:szCs w:val="21"/>
                <w:highlight w:val="none"/>
                <w:lang w:val="en-US" w:eastAsia="zh-CN"/>
              </w:rPr>
              <w:t>4</w:t>
            </w:r>
            <w:r>
              <w:rPr>
                <w:rFonts w:ascii="宋体" w:hAnsi="宋体" w:cs="宋体" w:hint="eastAsia"/>
                <w:b/>
                <w:bCs/>
                <w:color w:val="auto"/>
                <w:szCs w:val="21"/>
                <w:highlight w:val="none"/>
                <w:lang w:eastAsia="zh-CN"/>
              </w:rPr>
              <w:t>月</w:t>
            </w:r>
            <w:r>
              <w:rPr>
                <w:rFonts w:ascii="宋体" w:hAnsi="宋体" w:cs="宋体" w:hint="eastAsia"/>
                <w:b/>
                <w:bCs/>
                <w:color w:val="auto"/>
                <w:szCs w:val="21"/>
                <w:highlight w:val="none"/>
                <w:lang w:val="en-US" w:eastAsia="zh-CN"/>
              </w:rPr>
              <w:t>30</w:t>
            </w:r>
            <w:r>
              <w:rPr>
                <w:rFonts w:ascii="宋体" w:hAnsi="宋体" w:cs="宋体" w:hint="eastAsia"/>
                <w:b/>
                <w:bCs/>
                <w:color w:val="auto"/>
                <w:szCs w:val="21"/>
                <w:highlight w:val="none"/>
                <w:lang w:eastAsia="zh-CN"/>
              </w:rPr>
              <w:t>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pStyle w:val="a"/>
        <w:rPr>
          <w:color w:val="auto"/>
          <w:highlight w:val="none"/>
        </w:rPr>
      </w:pP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3.2.2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kern w:val="0"/>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lang w:eastAsia="zh-CN"/>
        </w:rPr>
        <w:t>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numPr>
          <w:ilvl w:val="0"/>
          <w:numId w:val="0"/>
        </w:numPr>
        <w:spacing w:line="360" w:lineRule="auto"/>
        <w:outlineLvl w:val="2"/>
        <w:rPr>
          <w:rFonts w:ascii="宋体" w:hAnsi="宋体" w:cs="宋体" w:hint="eastAsia"/>
          <w:b/>
          <w:bCs/>
          <w:color w:val="auto"/>
          <w:szCs w:val="21"/>
          <w:highlight w:val="none"/>
        </w:rPr>
      </w:pPr>
      <w:r>
        <w:rPr>
          <w:rFonts w:ascii="宋体" w:eastAsia="宋体" w:hAnsi="宋体" w:cs="宋体" w:hint="eastAsia"/>
          <w:b/>
          <w:bCs/>
          <w:color w:val="auto"/>
          <w:kern w:val="2"/>
          <w:sz w:val="21"/>
          <w:szCs w:val="21"/>
          <w:highlight w:val="none"/>
          <w:lang w:val="en-US" w:eastAsia="zh-CN" w:bidi="ar-SA"/>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ind w:firstLine="422"/>
        <w:rPr>
          <w:rFonts w:ascii="宋体" w:hAnsi="宋体" w:cs="宋体" w:hint="eastAsia"/>
          <w:b/>
          <w:bCs/>
          <w:color w:val="auto"/>
          <w:kern w:val="2"/>
          <w:szCs w:val="21"/>
          <w:highlight w:val="none"/>
          <w:lang w:val="en-US" w:eastAsia="zh-CN"/>
        </w:rPr>
      </w:pPr>
      <w:r>
        <w:rPr>
          <w:rFonts w:ascii="宋体" w:hAnsi="宋体" w:cs="宋体" w:hint="eastAsia"/>
          <w:b/>
          <w:bCs/>
          <w:color w:val="auto"/>
          <w:szCs w:val="21"/>
          <w:highlight w:val="none"/>
          <w:lang w:val="en-US" w:eastAsia="zh-CN"/>
        </w:rPr>
        <w:t>注：标段内</w:t>
      </w:r>
      <w:r>
        <w:rPr>
          <w:rFonts w:ascii="宋体" w:hAnsi="宋体" w:cs="宋体" w:hint="eastAsia"/>
          <w:b/>
          <w:bCs/>
          <w:color w:val="auto"/>
          <w:kern w:val="2"/>
          <w:szCs w:val="21"/>
          <w:highlight w:val="none"/>
          <w:lang w:val="en-US" w:eastAsia="zh-CN"/>
        </w:rPr>
        <w:t>全部经营品牌均为市区连锁</w:t>
      </w:r>
      <w:r>
        <w:rPr>
          <w:rFonts w:ascii="宋体" w:hAnsi="宋体" w:cs="宋体" w:hint="eastAsia"/>
          <w:b/>
          <w:bCs/>
          <w:color w:val="auto"/>
          <w:kern w:val="2"/>
          <w:szCs w:val="21"/>
          <w:highlight w:val="none"/>
          <w:lang/>
        </w:rPr>
        <w:t>品牌直营</w:t>
      </w:r>
      <w:r>
        <w:rPr>
          <w:rFonts w:ascii="宋体" w:hAnsi="宋体" w:cs="宋体" w:hint="eastAsia"/>
          <w:b/>
          <w:bCs/>
          <w:color w:val="auto"/>
          <w:kern w:val="2"/>
          <w:szCs w:val="21"/>
          <w:highlight w:val="none"/>
          <w:lang w:val="en-US" w:eastAsia="zh-CN"/>
        </w:rPr>
        <w:t>可勾选品牌直营；</w:t>
      </w:r>
    </w:p>
    <w:p>
      <w:pPr>
        <w:spacing w:line="360" w:lineRule="auto"/>
        <w:ind w:firstLine="422"/>
        <w:rPr>
          <w:rFonts w:ascii="宋体" w:eastAsia="宋体" w:hAnsi="宋体" w:cs="宋体" w:hint="eastAsia"/>
          <w:b/>
          <w:bCs/>
          <w:color w:val="auto"/>
          <w:szCs w:val="21"/>
          <w:highlight w:val="none"/>
          <w:lang w:val="en-US" w:eastAsia="zh-CN"/>
        </w:rPr>
      </w:pPr>
      <w:r>
        <w:rPr>
          <w:rFonts w:ascii="宋体" w:hAnsi="宋体" w:cs="宋体" w:hint="eastAsia"/>
          <w:b/>
          <w:bCs/>
          <w:color w:val="auto"/>
          <w:kern w:val="2"/>
          <w:szCs w:val="21"/>
          <w:highlight w:val="none"/>
          <w:lang w:val="en-US" w:eastAsia="zh-CN"/>
        </w:rPr>
        <w:t>其他情况可以分品牌做经营模式说明，但均勾选加盟代理经营</w:t>
      </w:r>
      <w:r>
        <w:rPr>
          <w:rFonts w:ascii="宋体" w:hAnsi="宋体" w:cs="宋体" w:hint="eastAsia"/>
          <w:b/>
          <w:bCs/>
          <w:color w:val="auto"/>
          <w:kern w:val="2"/>
          <w:szCs w:val="21"/>
          <w:highlight w:val="none"/>
          <w:lang/>
        </w:rPr>
        <w:t>。</w:t>
      </w: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ind w:firstLine="422"/>
        <w:rPr>
          <w:rFonts w:ascii="宋体" w:eastAsia="宋体" w:hAnsi="宋体" w:cs="宋体" w:hint="eastAsia"/>
          <w:b/>
          <w:bCs/>
          <w:color w:val="auto"/>
          <w:szCs w:val="21"/>
          <w:highlight w:val="none"/>
          <w:lang w:val="en-US" w:eastAsia="zh-CN"/>
        </w:rPr>
      </w:pPr>
    </w:p>
    <w:p>
      <w:pPr>
        <w:pStyle w:val="a"/>
        <w:rPr>
          <w:color w:val="auto"/>
          <w:highlight w:val="none"/>
        </w:rPr>
      </w:pPr>
    </w:p>
    <w:p>
      <w:pPr>
        <w:rPr>
          <w:color w:val="auto"/>
          <w:highlight w:val="none"/>
        </w:rPr>
      </w:pPr>
      <w:r>
        <w:rPr>
          <w:color w:val="auto"/>
          <w:highlight w:val="none"/>
        </w:rPr>
        <w:br w:type="page"/>
      </w:r>
    </w:p>
    <w:p>
      <w:pPr>
        <w:widowControl/>
        <w:spacing w:line="360" w:lineRule="auto"/>
        <w:ind w:firstLine="420"/>
        <w:jc w:val="left"/>
        <w:outlineLvl w:val="3"/>
        <w:rPr>
          <w:rFonts w:ascii="宋体" w:hAnsi="宋体" w:cs="宋体" w:hint="eastAsia"/>
          <w:color w:val="auto"/>
          <w:szCs w:val="21"/>
          <w:highlight w:val="none"/>
          <w:lang w:val="en-US" w:eastAsia="zh-CN"/>
        </w:rPr>
      </w:pPr>
      <w:bookmarkStart w:id="3" w:name="_Toc27037"/>
      <w:bookmarkStart w:id="4" w:name="_Toc4063"/>
      <w:bookmarkStart w:id="5" w:name="_Toc41558662"/>
      <w:bookmarkStart w:id="6" w:name="_Toc9087"/>
      <w:bookmarkStart w:id="7" w:name="_Hlk41556141"/>
      <w:r>
        <w:rPr>
          <w:rFonts w:ascii="宋体" w:hAnsi="宋体" w:cs="宋体" w:hint="eastAsia"/>
          <w:color w:val="auto"/>
          <w:szCs w:val="21"/>
          <w:highlight w:val="none"/>
          <w:lang w:val="en-US" w:eastAsia="zh-CN"/>
        </w:rPr>
        <w:t>4.2</w:t>
      </w:r>
      <w:r>
        <w:rPr>
          <w:rFonts w:ascii="宋体" w:hAnsi="宋体" w:cs="宋体" w:hint="eastAsia"/>
          <w:color w:val="auto"/>
          <w:kern w:val="0"/>
          <w:szCs w:val="21"/>
          <w:highlight w:val="none"/>
          <w:lang/>
        </w:rPr>
        <w:t>运营方案</w:t>
      </w:r>
      <w:r>
        <w:rPr>
          <w:rFonts w:ascii="宋体" w:hAnsi="宋体" w:cs="宋体" w:hint="eastAsia"/>
          <w:color w:val="auto"/>
          <w:kern w:val="0"/>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w:t>
      </w:r>
      <w:r>
        <w:rPr>
          <w:rFonts w:ascii="宋体" w:hAnsi="宋体" w:cs="宋体" w:hint="eastAsia"/>
          <w:color w:val="auto"/>
          <w:sz w:val="21"/>
          <w:szCs w:val="21"/>
          <w:highlight w:val="none"/>
        </w:rPr>
        <w:t>人根据双流机场所提供的未来旅客吞吐量数据进行合理测算，并向机场方提供项目期内的经营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default"/>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kern w:val="0"/>
          <w:sz w:val="21"/>
          <w:szCs w:val="21"/>
          <w:highlight w:val="none"/>
        </w:rPr>
        <w:t>4.</w:t>
      </w:r>
      <w:r>
        <w:rPr>
          <w:rFonts w:ascii="宋体" w:hAnsi="宋体" w:cs="宋体" w:hint="eastAsia"/>
          <w:color w:val="auto"/>
          <w:kern w:val="0"/>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color w:val="auto"/>
          <w:szCs w:val="21"/>
          <w:highlight w:val="none"/>
          <w:lang w:eastAsia="zh-CN"/>
        </w:rPr>
        <w:t>，加盖单位公章。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numPr>
          <w:ilvl w:val="0"/>
          <w:numId w:val="0"/>
        </w:numPr>
        <w:spacing w:line="360" w:lineRule="auto"/>
        <w:outlineLvl w:val="2"/>
        <w:rPr>
          <w:rFonts w:ascii="宋体" w:eastAsia="宋体" w:hAnsi="宋体" w:cs="宋体" w:hint="default"/>
          <w:b/>
          <w:bCs/>
          <w:color w:val="auto"/>
          <w:kern w:val="0"/>
          <w:szCs w:val="21"/>
          <w:highlight w:val="none"/>
          <w:lang w:val="en-US" w:eastAsia="zh-CN"/>
        </w:rPr>
      </w:pPr>
      <w:r>
        <w:rPr>
          <w:rFonts w:ascii="宋体" w:eastAsia="宋体" w:hAnsi="宋体" w:cs="宋体" w:hint="eastAsia"/>
          <w:b/>
          <w:bCs/>
          <w:color w:val="auto"/>
          <w:kern w:val="0"/>
          <w:sz w:val="21"/>
          <w:szCs w:val="21"/>
          <w:highlight w:val="none"/>
          <w:lang w:val="en-US" w:eastAsia="zh-CN"/>
        </w:rPr>
        <w:t>5.</w:t>
      </w:r>
      <w:r>
        <w:rPr>
          <w:rFonts w:ascii="宋体" w:hAnsi="宋体" w:cs="宋体" w:hint="eastAsia"/>
          <w:b/>
          <w:bCs/>
          <w:color w:val="auto"/>
          <w:kern w:val="0"/>
          <w:szCs w:val="21"/>
          <w:highlight w:val="none"/>
          <w:lang w:val="en-US" w:eastAsia="zh-CN"/>
        </w:rPr>
        <w:t>品牌情况</w:t>
      </w:r>
    </w:p>
    <w:p>
      <w:pPr>
        <w:spacing w:line="360" w:lineRule="auto"/>
        <w:ind w:firstLine="420"/>
        <w:outlineLvl w:val="3"/>
        <w:rPr>
          <w:rFonts w:ascii="宋体" w:hAnsi="宋体" w:cs="宋体" w:hint="eastAsia"/>
          <w:color w:val="auto"/>
          <w:kern w:val="0"/>
          <w:szCs w:val="21"/>
          <w:highlight w:val="none"/>
          <w:lang/>
        </w:rPr>
      </w:pPr>
      <w:r>
        <w:rPr>
          <w:rFonts w:ascii="宋体" w:hAnsi="宋体" w:cs="宋体" w:hint="eastAsia"/>
          <w:color w:val="auto"/>
          <w:kern w:val="0"/>
          <w:szCs w:val="21"/>
          <w:highlight w:val="none"/>
          <w:lang/>
        </w:rPr>
        <w:t>5.1品牌坪效（单店年销售额/该单店面积所占平方米数）</w:t>
      </w:r>
      <w:r>
        <w:rPr>
          <w:rFonts w:ascii="宋体" w:hAnsi="宋体" w:cs="宋体" w:hint="eastAsia"/>
          <w:color w:val="auto"/>
          <w:kern w:val="0"/>
          <w:szCs w:val="21"/>
          <w:highlight w:val="none"/>
          <w:lang/>
        </w:rPr>
        <w:br/>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人须提供购物中心或机场业主方提供的</w:t>
      </w:r>
      <w:r>
        <w:rPr>
          <w:rFonts w:ascii="宋体" w:hAnsi="宋体" w:cs="宋体" w:hint="eastAsia"/>
          <w:color w:val="auto"/>
          <w:szCs w:val="21"/>
          <w:highlight w:val="none"/>
          <w:lang w:val="en-US" w:eastAsia="zh-CN"/>
        </w:rPr>
        <w:t>2024年度或2024年X月-2025年X月</w:t>
      </w:r>
      <w:r>
        <w:rPr>
          <w:rFonts w:ascii="宋体" w:hAnsi="宋体" w:cs="宋体" w:hint="eastAsia"/>
          <w:color w:val="auto"/>
          <w:kern w:val="0"/>
          <w:szCs w:val="21"/>
          <w:highlight w:val="none"/>
          <w:lang/>
        </w:rPr>
        <w:t>（满12个月）品牌坪效的证明材料，加盖公章。</w:t>
      </w:r>
    </w:p>
    <w:p>
      <w:pPr>
        <w:rPr>
          <w:rFonts w:ascii="宋体" w:hAnsi="宋体" w:cs="宋体" w:hint="eastAsia"/>
          <w:color w:val="auto"/>
          <w:kern w:val="0"/>
          <w:szCs w:val="21"/>
          <w:highlight w:val="none"/>
          <w:lang/>
        </w:rPr>
      </w:pPr>
    </w:p>
    <w:p>
      <w:pPr>
        <w:rPr>
          <w:rFonts w:ascii="宋体" w:hAnsi="宋体" w:cs="宋体" w:hint="eastAsia"/>
          <w:color w:val="auto"/>
          <w:kern w:val="0"/>
          <w:szCs w:val="21"/>
          <w:highlight w:val="none"/>
          <w:lang/>
        </w:rPr>
      </w:pPr>
    </w:p>
    <w:p>
      <w:pPr>
        <w:rPr>
          <w:rFonts w:ascii="宋体" w:hAnsi="宋体" w:cs="宋体" w:hint="eastAsia"/>
          <w:b/>
          <w:bCs/>
          <w:color w:val="auto"/>
          <w:kern w:val="0"/>
          <w:szCs w:val="21"/>
          <w:highlight w:val="none"/>
          <w:lang w:val="en-US" w:eastAsia="zh-CN"/>
        </w:rPr>
      </w:pPr>
      <w:r>
        <w:rPr>
          <w:rFonts w:ascii="宋体" w:hAnsi="宋体" w:cs="宋体" w:hint="eastAsia"/>
          <w:b/>
          <w:bCs/>
          <w:color w:val="auto"/>
          <w:kern w:val="0"/>
          <w:szCs w:val="21"/>
          <w:highlight w:val="none"/>
          <w:lang w:val="en-US" w:eastAsia="zh-CN"/>
        </w:rPr>
        <w:br w:type="page"/>
      </w:r>
    </w:p>
    <w:p>
      <w:pPr>
        <w:spacing w:line="360" w:lineRule="auto"/>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5.2品牌知名度</w:t>
      </w:r>
    </w:p>
    <w:p>
      <w:pPr>
        <w:pStyle w:val="a"/>
        <w:rPr>
          <w:rFonts w:hint="eastAsia"/>
          <w:color w:val="auto"/>
          <w:highlight w:val="none"/>
          <w:lang w:val="en-US" w:eastAsia="zh-CN"/>
        </w:rPr>
      </w:pPr>
      <w:r>
        <w:rPr>
          <w:rFonts w:ascii="宋体" w:hAnsi="宋体" w:cs="宋体" w:hint="eastAsia"/>
          <w:color w:val="auto"/>
          <w:kern w:val="2"/>
          <w:sz w:val="21"/>
          <w:szCs w:val="21"/>
          <w:highlight w:val="none"/>
          <w:lang w:val="en-US" w:eastAsia="zh-CN" w:bidi="ar-SA"/>
        </w:rPr>
        <w:t>提供品牌介绍及品牌知名度说明相关材料，内容可</w:t>
      </w:r>
      <w:r>
        <w:rPr>
          <w:rFonts w:ascii="宋体" w:eastAsia="宋体" w:hAnsi="宋体" w:cs="宋体" w:hint="eastAsia"/>
          <w:color w:val="auto"/>
          <w:kern w:val="2"/>
          <w:sz w:val="21"/>
          <w:szCs w:val="21"/>
          <w:highlight w:val="none"/>
          <w:lang w:val="en-US" w:eastAsia="zh-CN" w:bidi="ar-SA"/>
        </w:rPr>
        <w:t>包括但不限于品牌档次、品牌产品特色、针对的客户群、商品价格区间、在国内开设品牌店的情况、是否具有四川本地特色等</w:t>
      </w:r>
      <w:r>
        <w:rPr>
          <w:rFonts w:ascii="宋体" w:hAnsi="宋体" w:cs="宋体" w:hint="eastAsia"/>
          <w:color w:val="auto"/>
          <w:kern w:val="2"/>
          <w:sz w:val="21"/>
          <w:szCs w:val="21"/>
          <w:highlight w:val="none"/>
          <w:lang w:val="en-US" w:eastAsia="zh-CN" w:bidi="ar-SA"/>
        </w:rPr>
        <w:t>，格式自拟，加盖公章</w:t>
      </w:r>
      <w:r>
        <w:rPr>
          <w:rFonts w:ascii="宋体" w:eastAsia="宋体" w:hAnsi="宋体" w:cs="宋体" w:hint="eastAsia"/>
          <w:color w:val="auto"/>
          <w:kern w:val="2"/>
          <w:sz w:val="21"/>
          <w:szCs w:val="21"/>
          <w:highlight w:val="none"/>
          <w:lang w:val="en-US" w:eastAsia="zh-CN" w:bidi="ar-SA"/>
        </w:rPr>
        <w:t>。</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numPr>
          <w:ilvl w:val="0"/>
          <w:numId w:val="0"/>
        </w:numPr>
        <w:spacing w:line="360" w:lineRule="auto"/>
        <w:outlineLvl w:val="2"/>
        <w:rPr>
          <w:rFonts w:ascii="宋体" w:eastAsia="宋体" w:hAnsi="宋体" w:cs="宋体" w:hint="eastAsia"/>
          <w:b/>
          <w:bCs/>
          <w:color w:val="auto"/>
          <w:kern w:val="0"/>
          <w:szCs w:val="21"/>
          <w:highlight w:val="none"/>
          <w:lang/>
        </w:rPr>
      </w:pPr>
      <w:r>
        <w:rPr>
          <w:rFonts w:ascii="宋体" w:hAnsi="宋体" w:cs="宋体" w:hint="eastAsia"/>
          <w:b/>
          <w:bCs/>
          <w:color w:val="auto"/>
          <w:kern w:val="0"/>
          <w:sz w:val="21"/>
          <w:szCs w:val="21"/>
          <w:highlight w:val="none"/>
          <w:lang w:val="en-US" w:eastAsia="zh-CN"/>
        </w:rPr>
        <w:t>6</w:t>
      </w:r>
      <w:r>
        <w:rPr>
          <w:rFonts w:ascii="宋体" w:eastAsia="宋体" w:hAnsi="宋体" w:cs="宋体" w:hint="eastAsia"/>
          <w:b/>
          <w:bCs/>
          <w:color w:val="auto"/>
          <w:kern w:val="0"/>
          <w:sz w:val="21"/>
          <w:szCs w:val="21"/>
          <w:highlight w:val="none"/>
          <w:lang w:val="en-US" w:eastAsia="zh-CN"/>
        </w:rPr>
        <w:t>.</w:t>
      </w:r>
      <w:r>
        <w:rPr>
          <w:rFonts w:ascii="宋体" w:hAnsi="宋体" w:cs="宋体" w:hint="eastAsia"/>
          <w:b/>
          <w:bCs/>
          <w:color w:val="auto"/>
          <w:kern w:val="0"/>
          <w:szCs w:val="21"/>
          <w:highlight w:val="none"/>
          <w:lang w:eastAsia="zh-CN"/>
        </w:rPr>
        <w:t>响应</w:t>
      </w:r>
      <w:r>
        <w:rPr>
          <w:rFonts w:ascii="宋体" w:eastAsia="宋体" w:hAnsi="宋体" w:cs="宋体" w:hint="eastAsia"/>
          <w:b/>
          <w:bCs/>
          <w:color w:val="auto"/>
          <w:kern w:val="0"/>
          <w:szCs w:val="21"/>
          <w:highlight w:val="none"/>
          <w:lang/>
        </w:rPr>
        <w:t>人须提供的其他资料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b/>
          <w:bCs/>
          <w:color w:val="auto"/>
          <w:sz w:val="24"/>
          <w:highlight w:val="none"/>
        </w:rPr>
      </w:pPr>
      <w:bookmarkStart w:id="8" w:name="_Toc15677"/>
      <w:bookmarkStart w:id="9" w:name="_Toc12908"/>
      <w:r>
        <w:rPr>
          <w:rFonts w:ascii="宋体" w:hAnsi="宋体" w:cs="宋体" w:hint="eastAsia"/>
          <w:b/>
          <w:bCs/>
          <w:color w:val="auto"/>
          <w:szCs w:val="21"/>
          <w:highlight w:val="none"/>
        </w:rPr>
        <w:t>二、</w:t>
      </w:r>
      <w:bookmarkEnd w:id="8"/>
      <w:r>
        <w:rPr>
          <w:rFonts w:ascii="宋体" w:hAnsi="宋体" w:cs="宋体" w:hint="eastAsia"/>
          <w:b/>
          <w:bCs/>
          <w:color w:val="auto"/>
          <w:sz w:val="24"/>
          <w:highlight w:val="none"/>
        </w:rPr>
        <w:t>商务方案分册</w:t>
      </w:r>
      <w:bookmarkEnd w:id="9"/>
    </w:p>
    <w:p>
      <w:pPr>
        <w:spacing w:line="360" w:lineRule="auto"/>
        <w:jc w:val="center"/>
        <w:rPr>
          <w:rFonts w:ascii="宋体" w:hAnsi="宋体" w:cs="宋体" w:hint="eastAsia"/>
          <w:b/>
          <w:bCs/>
          <w:color w:val="auto"/>
          <w:sz w:val="28"/>
          <w:szCs w:val="28"/>
          <w:highlight w:val="none"/>
          <w:lang w:val="en-US" w:eastAsia="zh-CN"/>
        </w:rPr>
      </w:pPr>
      <w:r>
        <w:rPr>
          <w:rFonts w:ascii="宋体" w:hAnsi="宋体" w:cs="宋体" w:hint="eastAsia"/>
          <w:b/>
          <w:bCs/>
          <w:color w:val="auto"/>
          <w:sz w:val="28"/>
          <w:szCs w:val="28"/>
          <w:highlight w:val="none"/>
          <w:lang w:val="en-US" w:eastAsia="zh-CN"/>
        </w:rPr>
        <w:t>T1航站楼</w:t>
      </w:r>
    </w:p>
    <w:p>
      <w:pPr>
        <w:pStyle w:val="a"/>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食品特产类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2"/>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w:t>
            </w:r>
            <w:r>
              <w:rPr>
                <w:rFonts w:ascii="宋体" w:hAnsi="宋体" w:cs="宋体" w:hint="eastAsia"/>
                <w:color w:val="auto"/>
                <w:szCs w:val="21"/>
                <w:highlight w:val="none"/>
                <w:lang w:val="en-US" w:eastAsia="zh-CN"/>
              </w:rPr>
              <w:t>国内</w:t>
            </w:r>
            <w:r>
              <w:rPr>
                <w:rFonts w:ascii="宋体" w:hAnsi="宋体" w:cs="宋体" w:hint="eastAsia"/>
                <w:color w:val="auto"/>
                <w:szCs w:val="21"/>
                <w:highlight w:val="none"/>
              </w:rPr>
              <w:t>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pStyle w:val="a"/>
        <w:jc w:val="center"/>
        <w:rPr>
          <w:rFonts w:ascii="宋体" w:hAnsi="宋体" w:cs="宋体" w:hint="default"/>
          <w:b/>
          <w:bCs/>
          <w:color w:val="auto"/>
          <w:sz w:val="28"/>
          <w:szCs w:val="28"/>
          <w:highlight w:val="none"/>
          <w:lang w:val="en-US" w:eastAsia="zh-CN"/>
        </w:rPr>
      </w:pPr>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T2航站楼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食品特产类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eastAsia="宋体" w:hAnsi="宋体" w:cs="宋体" w:hint="default"/>
                <w:color w:val="auto"/>
                <w:szCs w:val="21"/>
                <w:highlight w:val="none"/>
                <w:lang w:val="en-US" w:eastAsia="zh-CN"/>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61"/>
        </w:trPr>
        <w:tc>
          <w:tcPr>
            <w:tcW w:w="2154" w:type="dxa"/>
            <w:vAlign w:val="center"/>
          </w:tcPr>
          <w:p>
            <w:pPr>
              <w:spacing w:line="360" w:lineRule="auto"/>
              <w:jc w:val="center"/>
              <w:rPr>
                <w:rFonts w:eastAsia="宋体" w:hint="eastAsia"/>
                <w:lang w:eastAsia="zh-CN"/>
              </w:rPr>
            </w:pPr>
            <w:r>
              <w:rPr>
                <w:rFonts w:hint="eastAsia"/>
              </w:rPr>
              <w:t>销售额提成比例</w:t>
            </w:r>
          </w:p>
        </w:tc>
        <w:tc>
          <w:tcPr>
            <w:tcW w:w="6227" w:type="dxa"/>
            <w:vAlign w:val="center"/>
          </w:tcPr>
          <w:p>
            <w:pPr>
              <w:pStyle w:val="a"/>
              <w:spacing w:line="360" w:lineRule="auto"/>
              <w:jc w:val="center"/>
              <w:rPr>
                <w:rFonts w:ascii="宋体" w:eastAsia="宋体" w:hAnsi="宋体" w:cs="宋体" w:hint="default"/>
                <w:color w:val="auto"/>
                <w:sz w:val="21"/>
                <w:szCs w:val="21"/>
                <w:highlight w:val="none"/>
                <w:lang w:val="en-US" w:eastAsia="zh-CN"/>
              </w:rPr>
            </w:pPr>
            <w:r>
              <w:rPr>
                <w:rFonts w:asciiTheme="minorEastAsia" w:eastAsiaTheme="minorEastAsia" w:hAnsiTheme="minorEastAsia" w:cstheme="minorEastAsia" w:hint="eastAsia"/>
                <w:color w:val="auto"/>
                <w:highlight w:val="none"/>
                <w:lang w:val="en-US" w:eastAsia="zh-CN"/>
              </w:rPr>
              <w:t>1.</w:t>
            </w:r>
            <w:r>
              <w:rPr>
                <w:rFonts w:ascii="宋体" w:hAnsi="宋体" w:cs="宋体" w:hint="eastAsia"/>
                <w:color w:val="auto"/>
                <w:sz w:val="21"/>
                <w:szCs w:val="21"/>
                <w:highlight w:val="none"/>
                <w:lang w:val="en-US" w:eastAsia="zh-CN"/>
              </w:rPr>
              <w:t>提成比例</w:t>
            </w:r>
            <w:r>
              <w:rPr>
                <w:rFonts w:ascii="宋体" w:hAnsi="宋体" w:cs="宋体" w:hint="eastAsia"/>
                <w:color w:val="auto"/>
                <w:sz w:val="21"/>
                <w:szCs w:val="21"/>
                <w:u w:val="single"/>
              </w:rPr>
              <w:t xml:space="preserve">      </w:t>
            </w:r>
            <w:r>
              <w:rPr>
                <w:rFonts w:ascii="宋体" w:hAnsi="宋体" w:cs="宋体" w:hint="eastAsia"/>
                <w:color w:val="auto"/>
                <w:sz w:val="21"/>
                <w:szCs w:val="21"/>
              </w:rPr>
              <w:t>%</w:t>
            </w:r>
            <w:r>
              <w:rPr>
                <w:rFonts w:ascii="宋体" w:hAnsi="宋体" w:cs="宋体" w:hint="eastAsia"/>
                <w:b/>
                <w:bCs/>
                <w:color w:val="auto"/>
                <w:sz w:val="21"/>
                <w:szCs w:val="21"/>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2"/>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宋体" w:hAnsi="宋体"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E607173"/>
    <w:multiLevelType w:val="singleLevel"/>
    <w:tmpl w:val="5E60717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Footer">
    <w:name w:val="footer"/>
    <w:basedOn w:val="Normal"/>
    <w:qFormat/>
    <w:pPr>
      <w:tabs>
        <w:tab w:val="center" w:pos="4153"/>
        <w:tab w:val="right" w:pos="8306"/>
      </w:tabs>
      <w:snapToGrid w:val="0"/>
      <w:jc w:val="left"/>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2025-05-30T03:19:10Z</cp:lastPrinted>
  <dcterms:created xsi:type="dcterms:W3CDTF">2024-10-08T07:04:00Z</dcterms:created>
  <dcterms:modified xsi:type="dcterms:W3CDTF">2025-05-30T03:20:36Z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