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hAnsi="宋体" w:cs="宋体" w:hint="eastAsia"/>
          <w:b/>
          <w:bCs/>
          <w:color w:val="auto"/>
          <w:sz w:val="52"/>
          <w:szCs w:val="52"/>
          <w:highlight w:val="none"/>
        </w:rPr>
      </w:pPr>
      <w:bookmarkStart w:id="0" w:name="_Toc12386"/>
      <w:r>
        <w:rPr>
          <w:rFonts w:ascii="宋体" w:hAnsi="宋体" w:cs="宋体" w:hint="eastAsia"/>
          <w:b/>
          <w:bCs/>
          <w:color w:val="auto"/>
          <w:sz w:val="30"/>
          <w:szCs w:val="30"/>
          <w:highlight w:val="none"/>
          <w:lang w:val="en-US" w:eastAsia="zh-CN"/>
        </w:rPr>
        <w:t>附件1-2：商家资料清单（综合百货）</w:t>
      </w: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r>
        <w:rPr>
          <w:rFonts w:ascii="宋体" w:eastAsia="宋体" w:hAnsi="宋体" w:cs="宋体" w:hint="eastAsia"/>
          <w:color w:val="auto"/>
          <w:kern w:val="0"/>
          <w:szCs w:val="21"/>
          <w:highlight w:val="none"/>
          <w:lang/>
        </w:rPr>
        <w:t>。</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2025年4月30日，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2025年4月30日，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公司在成都双流国际机场航站楼经营，由该公司参与成都双流国际机场航站楼招商</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kern w:val="2"/>
          <w:szCs w:val="21"/>
          <w:highlight w:val="none"/>
          <w:lang w:val="en-US" w:eastAsia="zh-CN"/>
        </w:rPr>
      </w:pPr>
      <w:bookmarkStart w:id="2" w:name="_Toc27037"/>
      <w:bookmarkStart w:id="3" w:name="_Toc4063"/>
      <w:bookmarkStart w:id="4" w:name="_Hlk41556141"/>
      <w:bookmarkStart w:id="5" w:name="_Toc9087"/>
      <w:bookmarkStart w:id="6" w:name="_Toc41558662"/>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2"/>
      <w:bookmarkEnd w:id="3"/>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7"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7"/>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响应人可提供但不限于品牌介绍、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2025年4月30日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2025年4月30日，</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响应人须提供购物中心或机场业主方提供的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b w:val="0"/>
          <w:bCs w:val="0"/>
          <w:color w:val="auto"/>
          <w:kern w:val="0"/>
          <w:szCs w:val="21"/>
          <w:highlight w:val="none"/>
          <w:lang w:val="en-US" w:eastAsia="zh-CN"/>
        </w:rPr>
        <w:t>（满12个月）品牌坪效的证明材料，加盖公章。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响应人</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4"/>
      <w:bookmarkEnd w:id="5"/>
      <w:bookmarkEnd w:id="6"/>
    </w:p>
    <w:p>
      <w:pPr>
        <w:spacing w:line="360" w:lineRule="auto"/>
        <w:outlineLvl w:val="1"/>
        <w:rPr>
          <w:rFonts w:ascii="宋体" w:hAnsi="宋体" w:cs="宋体"/>
          <w:b/>
          <w:bCs/>
          <w:color w:val="auto"/>
          <w:sz w:val="24"/>
          <w:highlight w:val="none"/>
        </w:rPr>
      </w:pPr>
      <w:bookmarkStart w:id="8" w:name="_Toc15677"/>
      <w:bookmarkStart w:id="9" w:name="_Toc26002"/>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spacing w:line="360" w:lineRule="auto"/>
        <w:jc w:val="center"/>
        <w:rPr>
          <w:rFonts w:ascii="宋体" w:hAnsi="宋体" w:cs="宋体" w:hint="eastAsia"/>
          <w:b/>
          <w:bCs/>
          <w:color w:val="auto"/>
          <w:sz w:val="28"/>
          <w:szCs w:val="28"/>
          <w:highlight w:val="none"/>
          <w:lang w:val="en-US" w:eastAsia="zh-CN"/>
        </w:rPr>
      </w:pPr>
      <w:r>
        <w:rPr>
          <w:rFonts w:ascii="宋体" w:hAnsi="宋体" w:cs="宋体" w:hint="eastAsia"/>
          <w:b/>
          <w:bCs/>
          <w:color w:val="auto"/>
          <w:sz w:val="28"/>
          <w:szCs w:val="28"/>
          <w:highlight w:val="none"/>
          <w:lang w:val="en-US" w:eastAsia="zh-CN"/>
        </w:rPr>
        <w:t>T1航站楼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综合百货类标段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国内</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rPr>
          <w:rFonts w:ascii="宋体" w:hAnsi="宋体" w:cs="宋体" w:hint="eastAsia"/>
          <w:b/>
          <w:bCs/>
          <w:color w:val="auto"/>
          <w:sz w:val="28"/>
          <w:szCs w:val="28"/>
          <w:highlight w:val="none"/>
        </w:rPr>
      </w:pPr>
    </w:p>
    <w:p>
      <w:pPr>
        <w:pStyle w:val="a"/>
        <w:rPr>
          <w:rFonts w:ascii="宋体" w:hAnsi="宋体" w:cs="宋体" w:hint="eastAsia"/>
          <w:b/>
          <w:bCs/>
          <w:color w:val="auto"/>
          <w:sz w:val="28"/>
          <w:szCs w:val="28"/>
          <w:highlight w:val="none"/>
        </w:rPr>
      </w:pPr>
    </w:p>
    <w:p>
      <w:pPr>
        <w:pStyle w:val="a"/>
        <w:rPr>
          <w:rFonts w:ascii="宋体" w:hAnsi="宋体" w:cs="宋体" w:hint="eastAsia"/>
          <w:b/>
          <w:bCs/>
          <w:color w:val="auto"/>
          <w:sz w:val="28"/>
          <w:szCs w:val="28"/>
          <w:highlight w:val="none"/>
        </w:rPr>
      </w:pPr>
    </w:p>
    <w:p>
      <w:pPr>
        <w:pStyle w:val="a"/>
        <w:rPr>
          <w:rFonts w:ascii="宋体" w:hAnsi="宋体" w:cs="宋体" w:hint="eastAsia"/>
          <w:b/>
          <w:bCs/>
          <w:color w:val="auto"/>
          <w:sz w:val="28"/>
          <w:szCs w:val="28"/>
          <w:highlight w:val="none"/>
        </w:rPr>
      </w:pPr>
    </w:p>
    <w:p>
      <w:pPr>
        <w:pStyle w:val="a"/>
        <w:rPr>
          <w:rFonts w:ascii="宋体" w:hAnsi="宋体" w:cs="宋体" w:hint="eastAsia"/>
          <w:b/>
          <w:bCs/>
          <w:color w:val="auto"/>
          <w:sz w:val="28"/>
          <w:szCs w:val="28"/>
          <w:highlight w:val="none"/>
        </w:rPr>
      </w:pPr>
    </w:p>
    <w:p>
      <w:pPr>
        <w:pStyle w:val="a"/>
        <w:rPr>
          <w:rFonts w:ascii="宋体" w:hAnsi="宋体" w:cs="宋体" w:hint="eastAsia"/>
          <w:b/>
          <w:bCs/>
          <w:color w:val="auto"/>
          <w:sz w:val="28"/>
          <w:szCs w:val="28"/>
          <w:highlight w:val="none"/>
        </w:rPr>
      </w:pP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综合百货类标段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w:t>
            </w:r>
            <w:bookmarkStart w:id="10" w:name="_GoBack"/>
            <w:bookmarkEnd w:id="10"/>
            <w:r>
              <w:rPr>
                <w:rFonts w:ascii="宋体" w:hAnsi="宋体" w:cs="宋体" w:hint="eastAsia"/>
                <w:color w:val="auto"/>
                <w:szCs w:val="21"/>
                <w:highlight w:val="none"/>
              </w:rPr>
              <w:t>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
      <w:pPr>
        <w:pStyle w:val="a"/>
      </w:pPr>
    </w:p>
    <w:p>
      <w:pPr>
        <w:pStyle w:val="a"/>
      </w:pPr>
    </w:p>
    <w:p>
      <w:pPr>
        <w:pStyle w:val="a"/>
      </w:pPr>
    </w:p>
    <w:p>
      <w:pPr>
        <w:pStyle w:val="a"/>
      </w:pPr>
    </w:p>
    <w:p>
      <w:pPr>
        <w:pStyle w:val="a"/>
      </w:pPr>
    </w:p>
    <w:p>
      <w:pPr>
        <w:pStyle w:val="a"/>
      </w:pPr>
    </w:p>
    <w:p>
      <w:pPr>
        <w:pStyle w:val="a"/>
      </w:pPr>
    </w:p>
    <w:p>
      <w:pPr>
        <w:pStyle w:val="a"/>
      </w:pPr>
    </w:p>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2024-10-08T07:14:00Z</dcterms:created>
  <dcterms:modified xsi:type="dcterms:W3CDTF">2025-05-27T07:26:37Z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