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jc w:val="both"/>
        <w:outlineLvl w:val="0"/>
        <w:rPr>
          <w:rFonts w:ascii="宋体" w:eastAsia="宋体" w:hAnsi="宋体" w:cs="宋体" w:hint="default"/>
          <w:b/>
          <w:bCs/>
          <w:color w:val="auto"/>
          <w:sz w:val="30"/>
          <w:szCs w:val="30"/>
          <w:highlight w:val="none"/>
          <w:lang w:val="en-US" w:eastAsia="zh-CN"/>
        </w:rPr>
      </w:pPr>
      <w:r>
        <w:rPr>
          <w:rFonts w:ascii="宋体" w:hAnsi="宋体" w:cs="宋体" w:hint="eastAsia"/>
          <w:b/>
          <w:bCs/>
          <w:color w:val="auto"/>
          <w:sz w:val="30"/>
          <w:szCs w:val="30"/>
          <w:highlight w:val="none"/>
          <w:lang w:val="en-US" w:eastAsia="zh-CN"/>
        </w:rPr>
        <w:t>附件1-5：商家资料清单（西式快餐）</w:t>
      </w:r>
    </w:p>
    <w:p>
      <w:pPr>
        <w:spacing w:line="360" w:lineRule="auto"/>
        <w:jc w:val="center"/>
        <w:outlineLvl w:val="0"/>
        <w:rPr>
          <w:rFonts w:asciiTheme="majorEastAsia" w:eastAsiaTheme="majorEastAsia" w:hAnsiTheme="majorEastAsia" w:cstheme="majorEastAsia" w:hint="eastAsia"/>
          <w:color w:val="auto"/>
          <w:highlight w:val="none"/>
        </w:rPr>
      </w:pPr>
      <w:r>
        <w:rPr>
          <w:rFonts w:ascii="宋体" w:hAnsi="宋体" w:cs="宋体" w:hint="eastAsia"/>
          <w:b/>
          <w:bCs/>
          <w:color w:val="auto"/>
          <w:sz w:val="52"/>
          <w:szCs w:val="52"/>
          <w:highlight w:val="none"/>
          <w:lang w:eastAsia="zh-CN"/>
        </w:rPr>
        <w:t>响应文件</w:t>
      </w:r>
      <w:r>
        <w:rPr>
          <w:rFonts w:ascii="宋体" w:hAnsi="宋体" w:cs="宋体" w:hint="eastAsia"/>
          <w:b/>
          <w:bCs/>
          <w:color w:val="auto"/>
          <w:sz w:val="52"/>
          <w:szCs w:val="52"/>
          <w:highlight w:val="none"/>
        </w:rPr>
        <w:t>格式</w:t>
      </w:r>
    </w:p>
    <w:p>
      <w:pPr>
        <w:spacing w:line="360" w:lineRule="auto"/>
        <w:jc w:val="right"/>
        <w:rPr>
          <w:rFonts w:asciiTheme="majorEastAsia" w:eastAsiaTheme="majorEastAsia" w:hAnsiTheme="majorEastAsia" w:cstheme="majorEastAsia" w:hint="eastAsia"/>
          <w:b/>
          <w:color w:val="auto"/>
          <w:sz w:val="44"/>
          <w:szCs w:val="44"/>
          <w:highlight w:val="none"/>
        </w:rPr>
      </w:pPr>
    </w:p>
    <w:p>
      <w:pPr>
        <w:jc w:val="center"/>
        <w:rPr>
          <w:rFonts w:asciiTheme="majorEastAsia" w:eastAsiaTheme="majorEastAsia" w:hAnsiTheme="majorEastAsia" w:cstheme="majorEastAsia" w:hint="eastAsia"/>
          <w:color w:val="auto"/>
          <w:sz w:val="44"/>
          <w:szCs w:val="44"/>
          <w:highlight w:val="none"/>
        </w:rPr>
      </w:pPr>
    </w:p>
    <w:p>
      <w:pPr>
        <w:jc w:val="center"/>
        <w:rPr>
          <w:rFonts w:asciiTheme="majorEastAsia" w:eastAsiaTheme="majorEastAsia" w:hAnsiTheme="majorEastAsia" w:cstheme="majorEastAsia" w:hint="eastAsia"/>
          <w:b/>
          <w:color w:val="auto"/>
          <w:sz w:val="84"/>
          <w:szCs w:val="72"/>
          <w:highlight w:val="none"/>
          <w:lang w:eastAsia="zh-CN"/>
        </w:rPr>
      </w:pPr>
      <w:r>
        <w:rPr>
          <w:rFonts w:asciiTheme="majorEastAsia" w:eastAsiaTheme="majorEastAsia" w:hAnsiTheme="majorEastAsia" w:cstheme="majorEastAsia" w:hint="eastAsia"/>
          <w:b/>
          <w:color w:val="auto"/>
          <w:sz w:val="84"/>
          <w:szCs w:val="72"/>
          <w:highlight w:val="none"/>
          <w:lang w:eastAsia="zh-CN"/>
        </w:rPr>
        <w:t>响应文件</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pStyle w:val="a0"/>
        <w:spacing w:before="0" w:line="360" w:lineRule="auto"/>
        <w:rPr>
          <w:rFonts w:asciiTheme="majorEastAsia" w:eastAsiaTheme="majorEastAsia" w:hAnsiTheme="majorEastAsia" w:cstheme="majorEastAsia" w:hint="eastAsia"/>
          <w:color w:val="auto"/>
          <w:sz w:val="30"/>
          <w:szCs w:val="30"/>
          <w:highlight w:val="none"/>
        </w:rPr>
      </w:pPr>
      <w:r>
        <w:rPr>
          <w:rFonts w:asciiTheme="majorEastAsia" w:eastAsiaTheme="majorEastAsia" w:hAnsiTheme="majorEastAsia" w:cstheme="majorEastAsia" w:hint="eastAsia"/>
          <w:color w:val="auto"/>
          <w:sz w:val="30"/>
          <w:szCs w:val="30"/>
          <w:highlight w:val="none"/>
        </w:rPr>
        <w:t>标段号：</w:t>
      </w:r>
    </w:p>
    <w:p>
      <w:pPr>
        <w:pStyle w:val="a0"/>
        <w:spacing w:before="0" w:line="360" w:lineRule="auto"/>
        <w:rPr>
          <w:rFonts w:asciiTheme="majorEastAsia" w:eastAsiaTheme="majorEastAsia" w:hAnsiTheme="majorEastAsia" w:cstheme="majorEastAsia" w:hint="eastAsia"/>
          <w:color w:val="auto"/>
          <w:sz w:val="30"/>
          <w:szCs w:val="30"/>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rPr>
          <w:rFonts w:asciiTheme="majorEastAsia" w:eastAsiaTheme="majorEastAsia" w:hAnsiTheme="majorEastAsia" w:cstheme="majorEastAsia" w:hint="eastAsia"/>
          <w:color w:val="auto"/>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lang w:eastAsia="zh-CN"/>
        </w:rPr>
        <w:t>响应人</w:t>
      </w:r>
      <w:r>
        <w:rPr>
          <w:rFonts w:asciiTheme="majorEastAsia" w:eastAsiaTheme="majorEastAsia" w:hAnsiTheme="majorEastAsia" w:cstheme="majorEastAsia" w:hint="eastAsia"/>
          <w:color w:val="auto"/>
          <w:sz w:val="32"/>
          <w:szCs w:val="32"/>
          <w:highlight w:val="none"/>
        </w:rPr>
        <w:t>名称（加盖公章）：</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法定代表人或其委托代理人（签字）：</w:t>
      </w:r>
    </w:p>
    <w:p>
      <w:pPr>
        <w:spacing w:line="360" w:lineRule="auto"/>
        <w:ind w:left="1470" w:firstLine="640"/>
        <w:rPr>
          <w:rFonts w:asciiTheme="majorEastAsia" w:eastAsiaTheme="majorEastAsia" w:hAnsiTheme="majorEastAsia" w:cstheme="majorEastAsia" w:hint="eastAsia"/>
          <w:color w:val="auto"/>
          <w:sz w:val="32"/>
          <w:szCs w:val="32"/>
          <w:highlight w:val="none"/>
        </w:rPr>
      </w:pPr>
      <w:r>
        <w:rPr>
          <w:rFonts w:asciiTheme="majorEastAsia" w:eastAsiaTheme="majorEastAsia" w:hAnsiTheme="majorEastAsia" w:cstheme="majorEastAsia" w:hint="eastAsia"/>
          <w:color w:val="auto"/>
          <w:sz w:val="32"/>
          <w:szCs w:val="32"/>
          <w:highlight w:val="none"/>
        </w:rPr>
        <w:t>日  期：  年   月  日</w:t>
      </w: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0"/>
        <w:rPr>
          <w:rFonts w:ascii="宋体" w:hAnsi="宋体" w:cs="宋体"/>
          <w:color w:val="auto"/>
          <w:szCs w:val="21"/>
          <w:highlight w:val="none"/>
        </w:rPr>
      </w:pPr>
      <w:bookmarkStart w:id="0" w:name="_Toc6859"/>
      <w:r>
        <w:rPr>
          <w:rFonts w:ascii="宋体" w:hAnsi="宋体" w:cs="宋体" w:hint="eastAsia"/>
          <w:b/>
          <w:bCs/>
          <w:color w:val="auto"/>
          <w:szCs w:val="21"/>
          <w:highlight w:val="none"/>
        </w:rPr>
        <w:t>（一）技术方案分册</w:t>
      </w:r>
      <w:bookmarkEnd w:id="0"/>
    </w:p>
    <w:p>
      <w:pPr>
        <w:numPr>
          <w:ilvl w:val="0"/>
          <w:numId w:val="1"/>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名称】，遵照</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文件的条款和条件，递交完全符合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，以及于</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的有效期为自提交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截止日起的九十（90）天。根据《</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格式》，我们在此与本合作申请书一并提交的作为</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七</w:t>
      </w:r>
      <w:r>
        <w:rPr>
          <w:rFonts w:ascii="宋体" w:hAnsi="宋体" w:cs="宋体" w:hint="eastAsia"/>
          <w:color w:val="auto"/>
          <w:szCs w:val="21"/>
          <w:highlight w:val="none"/>
        </w:rPr>
        <w:t>、在签署成都双流国际机场《候机楼经营合同》及合同附件以前，本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对我们有约束。我们同意贵方不一定接受我们的</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或接受任何一份</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八</w:t>
      </w:r>
      <w:r>
        <w:rPr>
          <w:rFonts w:ascii="宋体" w:hAnsi="宋体" w:cs="宋体" w:hint="eastAsia"/>
          <w:color w:val="auto"/>
          <w:szCs w:val="21"/>
          <w:highlight w:val="none"/>
        </w:rPr>
        <w:t>、我们接受成都双流国际机场《候机楼经营合同》及合同附件中的条款和条件，并将严格履行。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九</w:t>
      </w:r>
      <w:r>
        <w:rPr>
          <w:rFonts w:ascii="宋体" w:hAnsi="宋体" w:cs="宋体" w:hint="eastAsia"/>
          <w:color w:val="auto"/>
          <w:szCs w:val="21"/>
          <w:highlight w:val="none"/>
        </w:rPr>
        <w:t>、我们在此保证，本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的所有内容均属独立完成，未经与其他有希望的</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十、我们证实，本合作申请书是我方</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的组成部分，我方保证对本</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outlineLvl w:val="3"/>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rPr>
        <w:t>1.2 企业营业执照副本复印件</w:t>
      </w:r>
      <w:r>
        <w:rPr>
          <w:rFonts w:ascii="宋体" w:hAnsi="宋体" w:cs="宋体" w:hint="eastAsia"/>
          <w:color w:val="auto"/>
          <w:sz w:val="21"/>
          <w:szCs w:val="21"/>
          <w:highlight w:val="none"/>
          <w:lang w:eastAsia="zh-CN"/>
        </w:rPr>
        <w:t>，</w:t>
      </w:r>
      <w:r>
        <w:rPr>
          <w:rFonts w:ascii="宋体" w:hAnsi="宋体" w:cs="宋体" w:hint="eastAsia"/>
          <w:color w:val="auto"/>
          <w:sz w:val="21"/>
          <w:szCs w:val="21"/>
          <w:highlight w:val="none"/>
          <w:lang w:val="en-US" w:eastAsia="zh-CN"/>
        </w:rPr>
        <w:t>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w:t>
      </w:r>
      <w:r>
        <w:rPr>
          <w:rFonts w:ascii="宋体" w:hAnsi="宋体" w:cs="宋体" w:hint="eastAsia"/>
          <w:color w:val="auto"/>
          <w:szCs w:val="21"/>
          <w:highlight w:val="none"/>
          <w:lang w:eastAsia="zh-CN"/>
        </w:rPr>
        <w:t>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、递交</w:t>
      </w:r>
      <w:r>
        <w:rPr>
          <w:rFonts w:ascii="宋体" w:hAnsi="宋体" w:cs="宋体" w:hint="eastAsia"/>
          <w:color w:val="auto"/>
          <w:szCs w:val="21"/>
          <w:highlight w:val="none"/>
          <w:lang w:eastAsia="zh-CN"/>
        </w:rPr>
        <w:t>响应文件</w:t>
      </w:r>
      <w:r>
        <w:rPr>
          <w:rFonts w:ascii="宋体" w:hAnsi="宋体" w:cs="宋体" w:hint="eastAsia"/>
          <w:color w:val="auto"/>
          <w:szCs w:val="21"/>
          <w:highlight w:val="none"/>
        </w:rPr>
        <w:t>、与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w:t>
      </w:r>
      <w:r>
        <w:rPr>
          <w:rFonts w:ascii="宋体" w:hAnsi="宋体" w:cs="宋体" w:hint="eastAsia"/>
          <w:color w:val="auto"/>
          <w:szCs w:val="21"/>
          <w:highlight w:val="none"/>
          <w:lang w:eastAsia="zh-CN"/>
        </w:rPr>
        <w:t>成都双流国际机场</w:t>
      </w:r>
      <w:r>
        <w:rPr>
          <w:rFonts w:ascii="宋体" w:hAnsi="宋体" w:cs="宋体" w:hint="eastAsia"/>
          <w:color w:val="auto"/>
          <w:szCs w:val="21"/>
          <w:highlight w:val="none"/>
          <w:lang w:val="en-US" w:eastAsia="zh-CN"/>
        </w:rPr>
        <w:t>航站楼招商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（姓名）向贵司了解相关信息。</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r>
        <w:rPr>
          <w:rFonts w:ascii="宋体" w:hAnsi="宋体" w:cs="宋体" w:hint="eastAsia"/>
          <w:color w:val="auto"/>
          <w:kern w:val="2"/>
          <w:sz w:val="21"/>
          <w:szCs w:val="21"/>
          <w:highlight w:val="none"/>
          <w:lang w:val="en-US" w:eastAsia="zh-CN"/>
        </w:rPr>
        <w:t>1</w:t>
      </w:r>
      <w:r>
        <w:rPr>
          <w:rFonts w:ascii="宋体" w:hAnsi="宋体" w:cs="宋体" w:hint="eastAsia"/>
          <w:color w:val="auto"/>
          <w:kern w:val="2"/>
          <w:sz w:val="21"/>
          <w:szCs w:val="21"/>
          <w:highlight w:val="none"/>
        </w:rPr>
        <w:t>.</w:t>
      </w:r>
      <w:r>
        <w:rPr>
          <w:rFonts w:ascii="宋体" w:hAnsi="宋体" w:cs="宋体" w:hint="eastAsia"/>
          <w:color w:val="auto"/>
          <w:kern w:val="2"/>
          <w:sz w:val="21"/>
          <w:szCs w:val="21"/>
          <w:highlight w:val="none"/>
          <w:lang w:val="en-US" w:eastAsia="zh-CN"/>
        </w:rPr>
        <w:t>7</w:t>
      </w:r>
      <w:r>
        <w:rPr>
          <w:rFonts w:ascii="宋体" w:hAnsi="宋体" w:cs="宋体" w:hint="eastAsia"/>
          <w:color w:val="auto"/>
          <w:kern w:val="2"/>
          <w:sz w:val="21"/>
          <w:szCs w:val="21"/>
          <w:highlight w:val="none"/>
        </w:rPr>
        <w:t>对标承诺书</w:t>
      </w:r>
    </w:p>
    <w:p>
      <w:pPr>
        <w:pStyle w:val="a"/>
        <w:spacing w:line="360" w:lineRule="auto"/>
        <w:ind w:firstLine="63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olor w:val="auto"/>
          <w:sz w:val="21"/>
          <w:highlight w:val="none"/>
        </w:rPr>
      </w:pPr>
      <w:r>
        <w:rPr>
          <w:rFonts w:ascii="宋体" w:hAnsi="宋体" w:cs="宋体" w:hint="eastAsia"/>
          <w:color w:val="auto"/>
          <w:sz w:val="21"/>
          <w:szCs w:val="21"/>
          <w:highlight w:val="none"/>
          <w:lang w:eastAsia="zh-CN"/>
        </w:rPr>
        <w:t>成都双流国际机场</w:t>
      </w:r>
      <w:r>
        <w:rPr>
          <w:rFonts w:ascii="宋体" w:hAnsi="宋体" w:cs="宋体" w:hint="eastAsia"/>
          <w:color w:val="auto"/>
          <w:sz w:val="21"/>
          <w:szCs w:val="21"/>
          <w:highlight w:val="none"/>
          <w:lang w:val="en-US" w:eastAsia="zh-CN"/>
        </w:rPr>
        <w:t>航站楼招商</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firstLine="63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firstLine="420"/>
        <w:jc w:val="both"/>
        <w:rPr>
          <w:rFonts w:ascii="宋体" w:hAnsi="宋体" w:cs="宋体"/>
          <w:color w:val="auto"/>
          <w:sz w:val="21"/>
          <w:szCs w:val="21"/>
          <w:highlight w:val="none"/>
          <w:u w:val="single"/>
        </w:rPr>
      </w:pP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eastAsia="宋体" w:hAnsi="宋体" w:cs="宋体" w:hint="default"/>
          <w:color w:val="auto"/>
          <w:sz w:val="21"/>
          <w:szCs w:val="21"/>
          <w:highlight w:val="none"/>
          <w:lang w:val="en-US" w:eastAsia="zh-CN"/>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val="en-US" w:eastAsia="zh-CN"/>
        </w:rPr>
        <w:t xml:space="preserve"> </w:t>
      </w:r>
      <w:r>
        <w:rPr>
          <w:rFonts w:ascii="宋体" w:hAnsi="宋体" w:cs="宋体" w:hint="eastAsia"/>
          <w:color w:val="auto"/>
          <w:sz w:val="21"/>
          <w:szCs w:val="21"/>
          <w:highlight w:val="none"/>
        </w:rPr>
        <w:t>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w:t>
      </w:r>
      <w:r>
        <w:rPr>
          <w:rFonts w:ascii="宋体" w:hAnsi="宋体" w:cs="宋体" w:hint="eastAsia"/>
          <w:color w:val="auto"/>
          <w:szCs w:val="21"/>
          <w:highlight w:val="none"/>
          <w:lang w:val="en-US" w:eastAsia="zh-CN"/>
        </w:rPr>
        <w:t>4</w:t>
      </w:r>
      <w:r>
        <w:rPr>
          <w:rFonts w:ascii="宋体" w:hAnsi="宋体" w:cs="宋体" w:hint="eastAsia"/>
          <w:color w:val="auto"/>
          <w:szCs w:val="21"/>
          <w:highlight w:val="none"/>
        </w:rPr>
        <w:t>年度</w:t>
      </w:r>
      <w:r>
        <w:rPr>
          <w:rFonts w:ascii="宋体" w:hAnsi="宋体" w:cs="宋体" w:hint="eastAsia"/>
          <w:color w:val="auto"/>
          <w:szCs w:val="21"/>
          <w:highlight w:val="none"/>
          <w:lang w:val="en-US" w:eastAsia="zh-CN"/>
        </w:rPr>
        <w:t>任意连续</w:t>
      </w:r>
      <w:r>
        <w:rPr>
          <w:rFonts w:ascii="宋体" w:hAnsi="宋体" w:cs="宋体" w:hint="eastAsia"/>
          <w:color w:val="auto"/>
          <w:szCs w:val="21"/>
          <w:highlight w:val="none"/>
        </w:rPr>
        <w:t>三年经会计师事务所审计的财务报告（至少包含资产负债表、利润表、现金流量表三张主表）复印件，</w:t>
      </w:r>
      <w:r>
        <w:rPr>
          <w:rFonts w:hint="eastAsia"/>
          <w:color w:val="auto"/>
          <w:highlight w:val="none"/>
        </w:rPr>
        <w:t>加盖公章。</w:t>
      </w:r>
      <w:r>
        <w:rPr>
          <w:rFonts w:hint="eastAsia"/>
          <w:color w:val="auto"/>
          <w:highlight w:val="none"/>
          <w:lang w:val="en-US" w:eastAsia="zh-CN"/>
        </w:rPr>
        <w:t>若</w:t>
      </w:r>
      <w:r>
        <w:rPr>
          <w:rFonts w:ascii="宋体" w:hAnsi="宋体" w:cs="宋体" w:hint="eastAsia"/>
          <w:color w:val="auto"/>
          <w:szCs w:val="21"/>
          <w:highlight w:val="none"/>
        </w:rPr>
        <w:t>不全则“</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2021年度-2023年度营业收入（RMB）”和“</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pStyle w:val="a"/>
        <w:shd w:val="clear" w:color="auto" w:fill="auto"/>
        <w:rPr>
          <w:rFonts w:asciiTheme="minorEastAsia" w:eastAsiaTheme="minorEastAsia" w:hAnsiTheme="minorEastAsia" w:cstheme="minorEastAsia" w:hint="eastAsia"/>
          <w:color w:val="auto"/>
          <w:szCs w:val="21"/>
          <w:highlight w:val="none"/>
        </w:rPr>
      </w:pPr>
    </w:p>
    <w:p>
      <w:pPr>
        <w:pStyle w:val="a"/>
        <w:shd w:val="clear" w:color="auto" w:fill="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pacing w:line="360" w:lineRule="auto"/>
        <w:jc w:val="left"/>
        <w:outlineLvl w:val="3"/>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2024</w:t>
      </w:r>
      <w:r>
        <w:rPr>
          <w:rFonts w:ascii="宋体" w:hAnsi="宋体" w:cs="宋体" w:hint="eastAsia"/>
          <w:color w:val="auto"/>
          <w:szCs w:val="21"/>
          <w:highlight w:val="none"/>
        </w:rPr>
        <w:t>年度</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如无，则提供2023年度</w:t>
      </w:r>
      <w:r>
        <w:rPr>
          <w:rFonts w:ascii="宋体" w:hAnsi="宋体" w:cs="宋体" w:hint="eastAsia"/>
          <w:color w:val="auto"/>
          <w:szCs w:val="21"/>
          <w:highlight w:val="none"/>
          <w:lang w:eastAsia="zh-CN"/>
        </w:rPr>
        <w:t>）</w:t>
      </w:r>
      <w:r>
        <w:rPr>
          <w:rFonts w:ascii="宋体" w:hAnsi="宋体" w:cs="宋体" w:hint="eastAsia"/>
          <w:color w:val="auto"/>
          <w:szCs w:val="21"/>
          <w:highlight w:val="none"/>
        </w:rPr>
        <w:t>纳税信用等级证明，加盖公章。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1" w:name="_Toc41558660"/>
      <w:bookmarkStart w:id="2" w:name="_Toc12575"/>
      <w:r>
        <w:rPr>
          <w:rFonts w:ascii="宋体" w:hAnsi="宋体" w:cs="宋体" w:hint="eastAsia"/>
          <w:b/>
          <w:bCs/>
          <w:color w:val="auto"/>
          <w:szCs w:val="21"/>
          <w:highlight w:val="none"/>
        </w:rPr>
        <w:br w:type="page"/>
      </w:r>
      <w:bookmarkEnd w:id="1"/>
      <w:bookmarkEnd w:id="2"/>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2"/>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2"/>
          <w:szCs w:val="21"/>
          <w:highlight w:val="none"/>
          <w:lang w:val="en-US" w:eastAsia="zh-CN"/>
        </w:rPr>
        <w:t>.1</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在近三年中国旅客吞吐量1500万人次以上及港澳台机场布局情况</w:t>
      </w:r>
      <w:r>
        <w:rPr>
          <w:rFonts w:ascii="宋体" w:hAnsi="宋体" w:cs="宋体" w:hint="eastAsia"/>
          <w:color w:val="auto"/>
          <w:kern w:val="2"/>
          <w:szCs w:val="21"/>
          <w:highlight w:val="none"/>
          <w:lang w:val="en-US" w:eastAsia="zh-CN"/>
        </w:rPr>
        <w:t>列表</w:t>
      </w:r>
      <w:r>
        <w:rPr>
          <w:rFonts w:ascii="宋体" w:hAnsi="宋体" w:cs="宋体" w:hint="eastAsia"/>
          <w:color w:val="auto"/>
          <w:kern w:val="2"/>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2</w:t>
      </w:r>
      <w:r>
        <w:rPr>
          <w:rFonts w:ascii="宋体" w:hAnsi="宋体" w:cs="宋体" w:hint="eastAsia"/>
          <w:color w:val="auto"/>
          <w:kern w:val="0"/>
          <w:szCs w:val="21"/>
          <w:highlight w:val="none"/>
          <w:lang w:eastAsia="zh-CN"/>
        </w:rPr>
        <w:t>-202</w:t>
      </w:r>
      <w:r>
        <w:rPr>
          <w:rFonts w:ascii="宋体" w:hAnsi="宋体" w:cs="宋体" w:hint="eastAsia"/>
          <w:color w:val="auto"/>
          <w:kern w:val="0"/>
          <w:szCs w:val="21"/>
          <w:highlight w:val="none"/>
          <w:lang w:val="en-US" w:eastAsia="zh-CN"/>
        </w:rPr>
        <w:t>4</w:t>
      </w:r>
      <w:r>
        <w:rPr>
          <w:rFonts w:ascii="宋体" w:hAnsi="宋体" w:cs="宋体" w:hint="eastAsia"/>
          <w:color w:val="auto"/>
          <w:kern w:val="0"/>
          <w:szCs w:val="21"/>
          <w:highlight w:val="none"/>
          <w:lang w:eastAsia="zh-CN"/>
        </w:rPr>
        <w:t>年</w:t>
      </w:r>
      <w:r>
        <w:rPr>
          <w:rFonts w:ascii="宋体" w:hAnsi="宋体" w:cs="宋体" w:hint="eastAsia"/>
          <w:color w:val="auto"/>
          <w:kern w:val="0"/>
          <w:szCs w:val="21"/>
          <w:highlight w:val="none"/>
        </w:rPr>
        <w:t>期间任意一年1500万人次及以上机场有：上海/浦东、广州/白云、北京/首都、深圳/宝安、成都/天府、北京/大兴、重庆/江北、杭州/萧山、上海/虹桥、昆明/长水、西安/咸阳、成都/双流、武汉/天河、长沙/黄花、南京/禄口、郑州/新郑、厦门/高崎、乌鲁木齐/地窝堡、海口/美兰、青岛/胶东、哈尔滨/太平、沈阳/桃仙、贵阳/龙洞堡、三亚/凤凰、天津/滨海、济南/遥墙、大连/周水子、长春/龙嘉</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兰州/中川、</w:t>
      </w:r>
      <w:r>
        <w:rPr>
          <w:rFonts w:ascii="宋体" w:hAnsi="宋体" w:cs="宋体" w:hint="eastAsia"/>
          <w:color w:val="auto"/>
          <w:kern w:val="0"/>
          <w:szCs w:val="21"/>
          <w:highlight w:val="none"/>
          <w:lang w:val="en-US" w:eastAsia="zh-CN"/>
        </w:rPr>
        <w:t>福州长乐</w:t>
      </w:r>
      <w:r>
        <w:rPr>
          <w:rFonts w:ascii="宋体" w:hAnsi="宋体" w:cs="宋体" w:hint="eastAsia"/>
          <w:color w:val="auto"/>
          <w:kern w:val="0"/>
          <w:szCs w:val="21"/>
          <w:highlight w:val="none"/>
        </w:rPr>
        <w:t>。</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szCs w:val="21"/>
          <w:highlight w:val="none"/>
        </w:rPr>
        <w:t>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578"/>
        <w:gridCol w:w="1224"/>
        <w:gridCol w:w="1688"/>
        <w:gridCol w:w="1698"/>
        <w:gridCol w:w="1927"/>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224"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98" w:type="dxa"/>
            <w:vAlign w:val="center"/>
          </w:tcPr>
          <w:p>
            <w:pPr>
              <w:tabs>
                <w:tab w:val="left" w:pos="1470"/>
              </w:tabs>
              <w:spacing w:line="360" w:lineRule="auto"/>
              <w:ind w:right="2"/>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1927"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224"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224"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9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2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both"/>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lang w:eastAsia="zh-CN"/>
              </w:rPr>
              <w:t>2025年4月30日，</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both"/>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rPr>
          <w:rFonts w:hint="eastAsia"/>
          <w:highlight w:val="none"/>
        </w:rPr>
      </w:pPr>
      <w:r>
        <w:rPr>
          <w:rFonts w:hint="eastAsia"/>
          <w:highlight w:val="none"/>
        </w:rPr>
        <w:br w:type="page"/>
      </w: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3.1.2</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rPr>
        <w:t>提供其本身及分子公司</w:t>
      </w:r>
      <w:r>
        <w:rPr>
          <w:rFonts w:ascii="宋体" w:hAnsi="宋体" w:cs="宋体" w:hint="eastAsia"/>
          <w:color w:val="auto"/>
          <w:kern w:val="2"/>
          <w:szCs w:val="21"/>
          <w:highlight w:val="none"/>
          <w:lang/>
        </w:rPr>
        <w:t>在近三年中国旅客吞吐量1500万人次以上</w:t>
      </w:r>
      <w:r>
        <w:rPr>
          <w:rFonts w:ascii="宋体" w:hAnsi="宋体" w:cs="宋体" w:hint="eastAsia"/>
          <w:color w:val="auto"/>
          <w:kern w:val="2"/>
          <w:szCs w:val="21"/>
          <w:highlight w:val="none"/>
          <w:lang w:val="en-US" w:eastAsia="zh-CN"/>
        </w:rPr>
        <w:t>机场</w:t>
      </w:r>
      <w:r>
        <w:rPr>
          <w:rFonts w:ascii="宋体" w:hAnsi="宋体" w:cs="宋体" w:hint="eastAsia"/>
          <w:color w:val="auto"/>
          <w:kern w:val="2"/>
          <w:szCs w:val="21"/>
          <w:highlight w:val="none"/>
          <w:lang/>
        </w:rPr>
        <w:t>及港澳台机场布局情况</w:t>
      </w:r>
      <w:r>
        <w:rPr>
          <w:rFonts w:ascii="宋体" w:hAnsi="宋体" w:cs="宋体" w:hint="eastAsia"/>
          <w:color w:val="auto"/>
          <w:kern w:val="2"/>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color w:val="auto"/>
          <w:szCs w:val="21"/>
          <w:highlight w:val="none"/>
        </w:rPr>
        <w:t>包括但不限于合同复印件或业主方证明</w:t>
      </w:r>
      <w:r>
        <w:rPr>
          <w:rFonts w:ascii="宋体" w:hAnsi="宋体" w:cs="宋体" w:hint="eastAsia"/>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pStyle w:val="a"/>
        <w:rPr>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240" w:lineRule="auto"/>
        <w:rPr>
          <w:rFonts w:ascii="宋体" w:hAnsi="宋体" w:cs="宋体" w:hint="eastAsia"/>
          <w:color w:val="auto"/>
          <w:szCs w:val="21"/>
          <w:highlight w:val="none"/>
        </w:rPr>
      </w:pP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3.2</w:t>
      </w:r>
      <w:r>
        <w:rPr>
          <w:rFonts w:ascii="宋体" w:hAnsi="宋体" w:cs="宋体" w:hint="eastAsia"/>
          <w:color w:val="auto"/>
          <w:szCs w:val="21"/>
          <w:highlight w:val="none"/>
          <w:lang w:val="en-US" w:eastAsia="zh-CN"/>
        </w:rPr>
        <w:t>.1</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eastAsia="宋体" w:hAnsi="宋体" w:cs="宋体" w:hint="eastAsia"/>
          <w:color w:val="auto"/>
          <w:szCs w:val="21"/>
          <w:highlight w:val="none"/>
        </w:rPr>
        <w:t>布局列表</w:t>
      </w:r>
      <w:r>
        <w:rPr>
          <w:rFonts w:ascii="宋体" w:eastAsia="宋体" w:hAnsi="宋体" w:cs="宋体" w:hint="eastAsia"/>
          <w:color w:val="auto"/>
          <w:szCs w:val="21"/>
          <w:highlight w:val="none"/>
          <w:lang w:eastAsia="zh-CN"/>
        </w:rPr>
        <w:t>。</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及其分子公司在营店面数量按照</w:t>
      </w:r>
      <w:r>
        <w:rPr>
          <w:rFonts w:ascii="宋体" w:hAnsi="宋体" w:cs="宋体" w:hint="eastAsia"/>
          <w:b w:val="0"/>
          <w:bCs w:val="0"/>
          <w:color w:val="auto"/>
          <w:kern w:val="0"/>
          <w:szCs w:val="21"/>
          <w:highlight w:val="none"/>
          <w:lang w:eastAsia="zh-CN"/>
        </w:rPr>
        <w:t>2025年4月30日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响应人</w:t>
      </w:r>
      <w:r>
        <w:rPr>
          <w:rFonts w:ascii="宋体" w:eastAsia="宋体" w:hAnsi="宋体" w:cs="宋体" w:hint="eastAsia"/>
          <w:color w:val="auto"/>
          <w:kern w:val="0"/>
          <w:szCs w:val="21"/>
          <w:highlight w:val="none"/>
          <w:lang/>
        </w:rPr>
        <w:t>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响应人</w:t>
      </w:r>
      <w:r>
        <w:rPr>
          <w:rFonts w:ascii="宋体" w:eastAsia="宋体" w:hAnsi="宋体" w:cs="宋体" w:hint="eastAsia"/>
          <w:b w:val="0"/>
          <w:bCs w:val="0"/>
          <w:color w:val="auto"/>
          <w:kern w:val="0"/>
          <w:szCs w:val="21"/>
          <w:highlight w:val="none"/>
          <w:lang/>
        </w:rPr>
        <w:t>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响应人</w:t>
      </w:r>
      <w:r>
        <w:rPr>
          <w:rFonts w:ascii="宋体" w:hAnsi="宋体" w:cs="宋体" w:hint="eastAsia"/>
          <w:color w:val="auto"/>
          <w:kern w:val="0"/>
          <w:szCs w:val="21"/>
          <w:highlight w:val="none"/>
          <w:lang/>
        </w:rPr>
        <w:t>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570"/>
        <w:gridCol w:w="1370"/>
        <w:gridCol w:w="1827"/>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5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70"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82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7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70"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827"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X号</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7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7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70"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827"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lang w:eastAsia="zh-CN"/>
              </w:rPr>
              <w:t>2025年4月30日，</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w:t>
            </w:r>
            <w:r>
              <w:rPr>
                <w:rFonts w:ascii="宋体" w:hAnsi="宋体" w:cs="宋体" w:hint="eastAsia"/>
                <w:b/>
                <w:bCs/>
                <w:color w:val="auto"/>
                <w:kern w:val="2"/>
                <w:szCs w:val="21"/>
                <w:highlight w:val="none"/>
                <w:lang w:eastAsia="zh-CN"/>
              </w:rPr>
              <w:t>（</w:t>
            </w:r>
            <w:r>
              <w:rPr>
                <w:rFonts w:ascii="宋体" w:hAnsi="宋体" w:cs="宋体" w:hint="eastAsia"/>
                <w:b/>
                <w:bCs/>
                <w:color w:val="auto"/>
                <w:kern w:val="2"/>
                <w:szCs w:val="21"/>
                <w:highlight w:val="none"/>
                <w:lang w:val="en-US" w:eastAsia="zh-CN"/>
              </w:rPr>
              <w:t>不含机场）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jc w:val="center"/>
        <w:rPr>
          <w:rFonts w:ascii="宋体" w:hAnsi="宋体" w:cs="宋体" w:hint="eastAsia"/>
          <w:b/>
          <w:bCs/>
          <w:color w:val="auto"/>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b w:val="0"/>
          <w:bCs w:val="0"/>
          <w:color w:val="auto"/>
          <w:szCs w:val="21"/>
          <w:highlight w:val="none"/>
          <w:lang w:val="en-US" w:eastAsia="zh-CN"/>
        </w:rPr>
        <w:t>3.2.2</w:t>
      </w:r>
      <w:r>
        <w:rPr>
          <w:rFonts w:ascii="宋体" w:hAnsi="宋体" w:cs="宋体" w:hint="eastAsia"/>
          <w:color w:val="auto"/>
          <w:kern w:val="2"/>
          <w:szCs w:val="21"/>
          <w:highlight w:val="none"/>
          <w:lang w:eastAsia="zh-CN"/>
        </w:rPr>
        <w:t>响应人</w:t>
      </w:r>
      <w:r>
        <w:rPr>
          <w:rFonts w:ascii="宋体" w:hAnsi="宋体" w:cs="宋体" w:hint="eastAsia"/>
          <w:color w:val="auto"/>
          <w:kern w:val="2"/>
          <w:szCs w:val="21"/>
          <w:highlight w:val="none"/>
          <w:lang/>
        </w:rPr>
        <w:t>及其分子公司在国内省会城市及直辖市、深圳市区、港澳台的布局情况</w:t>
      </w:r>
      <w:r>
        <w:rPr>
          <w:rFonts w:ascii="宋体" w:hAnsi="宋体" w:cs="宋体" w:hint="eastAsia"/>
          <w:color w:val="auto"/>
          <w:kern w:val="2"/>
          <w:szCs w:val="21"/>
          <w:highlight w:val="none"/>
          <w:lang w:eastAsia="zh-CN"/>
        </w:rPr>
        <w:t>（</w:t>
      </w:r>
      <w:r>
        <w:rPr>
          <w:rFonts w:ascii="宋体" w:hAnsi="宋体" w:cs="宋体" w:hint="eastAsia"/>
          <w:color w:val="auto"/>
          <w:kern w:val="2"/>
          <w:szCs w:val="21"/>
          <w:highlight w:val="none"/>
          <w:lang w:val="en-US" w:eastAsia="zh-CN"/>
        </w:rPr>
        <w:t>不含机场）</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包括但不限于合同复印件或业主方证明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r>
        <w:rPr>
          <w:rFonts w:asciiTheme="minorEastAsia" w:eastAsiaTheme="minorEastAsia" w:hAnsiTheme="minorEastAsia" w:cs="宋体"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eastAsia="zh-CN"/>
        </w:rPr>
        <w:t>3.3获奖证书</w:t>
      </w:r>
    </w:p>
    <w:p>
      <w:pPr>
        <w:spacing w:line="360" w:lineRule="auto"/>
        <w:ind w:firstLine="420"/>
        <w:rPr>
          <w:rFonts w:ascii="宋体" w:hAnsi="宋体" w:cs="宋体" w:hint="eastAsia"/>
          <w:color w:val="auto"/>
          <w:szCs w:val="21"/>
          <w:highlight w:val="none"/>
        </w:rPr>
      </w:pPr>
      <w:r>
        <w:rPr>
          <w:rFonts w:ascii="宋体" w:hAnsi="宋体" w:cs="宋体" w:hint="eastAsia"/>
          <w:color w:val="auto"/>
          <w:szCs w:val="21"/>
          <w:highlight w:val="none"/>
          <w:lang w:eastAsia="zh-CN"/>
        </w:rPr>
        <w:t>响应人202</w:t>
      </w:r>
      <w:r>
        <w:rPr>
          <w:rFonts w:ascii="宋体" w:hAnsi="宋体" w:cs="宋体" w:hint="eastAsia"/>
          <w:color w:val="auto"/>
          <w:szCs w:val="21"/>
          <w:highlight w:val="none"/>
          <w:lang w:val="en-US" w:eastAsia="zh-CN"/>
        </w:rPr>
        <w:t>2至今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Theme="minorEastAsia" w:eastAsiaTheme="minorEastAsia" w:hAnsiTheme="minorEastAsia" w:cstheme="minorEastAsia" w:hint="eastAsia"/>
          <w:color w:val="auto"/>
          <w:szCs w:val="21"/>
          <w:highlight w:val="none"/>
        </w:rPr>
      </w:pPr>
      <w:r>
        <w:rPr>
          <w:rFonts w:ascii="宋体" w:hAnsi="宋体" w:cs="宋体" w:hint="eastAsia"/>
          <w:color w:val="auto"/>
          <w:szCs w:val="21"/>
          <w:highlight w:val="none"/>
        </w:rPr>
        <w:t>若没有获奖情况，可不提供。</w:t>
      </w:r>
    </w:p>
    <w:p>
      <w:pPr>
        <w:shd w:val="clear" w:color="auto" w:fill="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br w:type="page"/>
      </w:r>
    </w:p>
    <w:p>
      <w:pPr>
        <w:spacing w:line="360" w:lineRule="auto"/>
        <w:outlineLvl w:val="2"/>
        <w:rPr>
          <w:rFonts w:ascii="宋体" w:hAnsi="宋体" w:cs="宋体"/>
          <w:b/>
          <w:bCs/>
          <w:color w:val="auto"/>
          <w:szCs w:val="21"/>
          <w:highlight w:val="none"/>
        </w:rPr>
      </w:pPr>
      <w:bookmarkStart w:id="3" w:name="_Toc41558662"/>
      <w:bookmarkStart w:id="4" w:name="_Hlk41556141"/>
      <w:bookmarkStart w:id="5" w:name="_Toc9087"/>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响应人</w:t>
      </w:r>
      <w:r>
        <w:rPr>
          <w:rFonts w:asciiTheme="minorEastAsia" w:eastAsiaTheme="minorEastAsia" w:hAnsiTheme="minorEastAsia" w:cstheme="minorEastAsia" w:hint="eastAsia"/>
          <w:color w:val="auto"/>
          <w:szCs w:val="21"/>
          <w:highlight w:val="none"/>
        </w:rPr>
        <w:t>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pStyle w:val="a"/>
        <w:rPr>
          <w:rFonts w:hint="eastAsia"/>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公司在成都双流国际机场航站楼经营，由该公司参与成都双流国际机场航站楼</w:t>
      </w:r>
      <w:r>
        <w:rPr>
          <w:rFonts w:ascii="宋体" w:hAnsi="宋体" w:cs="宋体" w:hint="eastAsia"/>
          <w:color w:val="auto"/>
          <w:szCs w:val="21"/>
          <w:highlight w:val="none"/>
          <w:lang w:val="en-US"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pStyle w:val="a"/>
        <w:rPr>
          <w:color w:val="auto"/>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ind w:firstLine="420"/>
        <w:jc w:val="left"/>
        <w:outlineLvl w:val="3"/>
        <w:rPr>
          <w:rFonts w:ascii="宋体" w:hAnsi="宋体" w:cs="宋体" w:hint="eastAsia"/>
          <w:color w:val="auto"/>
          <w:kern w:val="2"/>
          <w:szCs w:val="21"/>
          <w:highlight w:val="none"/>
          <w:lang w:val="en-US" w:eastAsia="zh-CN"/>
        </w:rPr>
      </w:pPr>
      <w:bookmarkStart w:id="6" w:name="_Toc27037"/>
      <w:bookmarkStart w:id="7" w:name="_Toc4063"/>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kern w:val="2"/>
          <w:szCs w:val="21"/>
          <w:highlight w:val="none"/>
          <w:lang w:val="en-US" w:eastAsia="zh-CN"/>
        </w:rPr>
        <w:t>首店证明材料</w:t>
      </w:r>
    </w:p>
    <w:p>
      <w:pPr>
        <w:pStyle w:val="BodyText"/>
        <w:jc w:val="left"/>
        <w:rPr>
          <w:rFonts w:hint="default"/>
          <w:b w:val="0"/>
          <w:bCs/>
          <w:sz w:val="21"/>
          <w:szCs w:val="21"/>
          <w:highlight w:val="none"/>
          <w:lang w:val="en-US" w:eastAsia="zh-CN"/>
        </w:rPr>
      </w:pPr>
      <w:r>
        <w:rPr>
          <w:rFonts w:hint="eastAsia"/>
          <w:b w:val="0"/>
          <w:bCs/>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 xml:space="preserve">经营品牌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lang w:val="en-US" w:eastAsia="zh-CN"/>
        </w:rPr>
        <w:t xml:space="preserve">            品牌未在            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注：①</w:t>
      </w:r>
      <w:r>
        <w:rPr>
          <w:rFonts w:asciiTheme="minorEastAsia" w:eastAsiaTheme="minorEastAsia" w:hAnsiTheme="minorEastAsia" w:cstheme="minorEastAsia" w:hint="eastAsia"/>
          <w:b/>
          <w:bCs/>
          <w:color w:val="auto"/>
          <w:szCs w:val="21"/>
          <w:highlight w:val="none"/>
        </w:rPr>
        <w:t>证明</w:t>
      </w:r>
      <w:r>
        <w:rPr>
          <w:rFonts w:asciiTheme="minorEastAsia" w:eastAsiaTheme="minorEastAsia" w:hAnsiTheme="minorEastAsia" w:cstheme="minorEastAsia" w:hint="eastAsia"/>
          <w:b/>
          <w:bCs/>
          <w:color w:val="auto"/>
          <w:szCs w:val="21"/>
          <w:highlight w:val="none"/>
          <w:lang w:val="en-US" w:eastAsia="zh-CN"/>
        </w:rPr>
        <w:t>材料</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val="0"/>
          <w:bCs/>
          <w:sz w:val="21"/>
          <w:szCs w:val="21"/>
          <w:highlight w:val="none"/>
          <w:lang w:val="en-US" w:eastAsia="zh-CN"/>
        </w:rPr>
        <w:t>包括但不限于大众点评截图或国内知名连锁品牌官方提供的证明文件</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rPr>
        <w:t>附后</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加</w:t>
      </w:r>
      <w:r>
        <w:rPr>
          <w:rFonts w:asciiTheme="minorEastAsia" w:eastAsiaTheme="minorEastAsia" w:hAnsiTheme="minorEastAsia" w:cstheme="minorEastAsia" w:hint="eastAsia"/>
          <w:b/>
          <w:bCs/>
          <w:color w:val="auto"/>
          <w:szCs w:val="21"/>
          <w:highlight w:val="none"/>
        </w:rPr>
        <w:t>盖</w:t>
      </w:r>
      <w:r>
        <w:rPr>
          <w:rFonts w:asciiTheme="minorEastAsia" w:eastAsiaTheme="minorEastAsia" w:hAnsiTheme="minorEastAsia" w:cstheme="minorEastAsia" w:hint="eastAsia"/>
          <w:b/>
          <w:bCs/>
          <w:color w:val="auto"/>
          <w:szCs w:val="21"/>
          <w:highlight w:val="none"/>
          <w:lang w:val="en-US" w:eastAsia="zh-CN"/>
        </w:rPr>
        <w:t>响应人</w:t>
      </w:r>
      <w:r>
        <w:rPr>
          <w:rFonts w:asciiTheme="minorEastAsia" w:eastAsiaTheme="minorEastAsia" w:hAnsiTheme="minorEastAsia" w:cstheme="minorEastAsia" w:hint="eastAsia"/>
          <w:b/>
          <w:bCs/>
          <w:color w:val="auto"/>
          <w:szCs w:val="21"/>
          <w:highlight w:val="none"/>
        </w:rPr>
        <w:t>公章</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品牌方出具的证明文件需加盖品牌方公章</w:t>
      </w:r>
      <w:r>
        <w:rPr>
          <w:rFonts w:asciiTheme="minorEastAsia" w:eastAsiaTheme="minorEastAsia" w:hAnsiTheme="minorEastAsia" w:cstheme="minorEastAsia" w:hint="eastAsia"/>
          <w:b/>
          <w:bCs/>
          <w:color w:val="auto"/>
          <w:szCs w:val="21"/>
          <w:highlight w:val="none"/>
          <w:lang w:eastAsia="zh-CN"/>
        </w:rPr>
        <w:t>。</w:t>
      </w:r>
    </w:p>
    <w:p>
      <w:pPr>
        <w:spacing w:line="360" w:lineRule="auto"/>
        <w:jc w:val="left"/>
        <w:rPr>
          <w:rFonts w:asciiTheme="minorEastAsia" w:eastAsiaTheme="minorEastAsia" w:hAnsiTheme="minorEastAsia" w:cstheme="minorEastAsia" w:hint="eastAsia"/>
          <w:b/>
          <w:bCs/>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②过去曾开店、现状未开店的情况，不算作首店</w:t>
      </w:r>
      <w:r>
        <w:rPr>
          <w:rFonts w:asciiTheme="minorEastAsia" w:eastAsiaTheme="minorEastAsia" w:hAnsiTheme="minorEastAsia" w:cstheme="minorEastAsia" w:hint="eastAsia"/>
          <w:b/>
          <w:bCs/>
          <w:color w:val="auto"/>
          <w:szCs w:val="21"/>
          <w:highlight w:val="none"/>
          <w:lang w:eastAsia="zh-CN"/>
        </w:rPr>
        <w:t>。</w:t>
      </w:r>
    </w:p>
    <w:p>
      <w:pPr>
        <w:spacing w:line="360" w:lineRule="auto"/>
        <w:ind w:firstLine="0"/>
        <w:jc w:val="lef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③非首店或</w:t>
      </w:r>
      <w:r>
        <w:rPr>
          <w:rFonts w:asciiTheme="minorEastAsia" w:eastAsiaTheme="minorEastAsia" w:hAnsiTheme="minorEastAsia" w:cstheme="minorEastAsia" w:hint="eastAsia"/>
          <w:color w:val="auto"/>
          <w:kern w:val="0"/>
          <w:szCs w:val="21"/>
          <w:highlight w:val="none"/>
          <w:lang w:val="en-US" w:eastAsia="zh-CN"/>
        </w:rPr>
        <w:t>非知名品牌/普通自有品牌机场首店可不提供</w:t>
      </w:r>
      <w:r>
        <w:rPr>
          <w:rFonts w:asciiTheme="minorEastAsia" w:eastAsiaTheme="minorEastAsia" w:hAnsiTheme="minorEastAsia" w:cstheme="minorEastAsia" w:hint="eastAsia"/>
          <w:color w:val="auto"/>
          <w:szCs w:val="21"/>
          <w:highlight w:val="none"/>
          <w:lang w:val="en-US" w:eastAsia="zh-CN"/>
        </w:rPr>
        <w:t>。</w:t>
      </w:r>
    </w:p>
    <w:p>
      <w:pPr>
        <w:pStyle w:val="a"/>
        <w:rPr>
          <w:rFonts w:hint="default"/>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spacing w:line="360" w:lineRule="auto"/>
        <w:ind w:firstLine="420"/>
        <w:jc w:val="left"/>
        <w:outlineLvl w:val="3"/>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4.3</w:t>
      </w:r>
      <w:r>
        <w:rPr>
          <w:rFonts w:ascii="宋体" w:hAnsi="宋体" w:cs="宋体" w:hint="eastAsia"/>
          <w:color w:val="auto"/>
          <w:kern w:val="2"/>
          <w:szCs w:val="21"/>
          <w:highlight w:val="none"/>
          <w:lang/>
        </w:rPr>
        <w:t>运营方案</w:t>
      </w:r>
      <w:r>
        <w:rPr>
          <w:rFonts w:ascii="宋体" w:hAnsi="宋体" w:cs="宋体" w:hint="eastAsia"/>
          <w:color w:val="auto"/>
          <w:kern w:val="2"/>
          <w:szCs w:val="21"/>
          <w:highlight w:val="none"/>
          <w:lang w:val="en-US" w:eastAsia="zh-CN"/>
        </w:rPr>
        <w:t>和经营计划</w:t>
      </w:r>
      <w:bookmarkEnd w:id="6"/>
      <w:bookmarkEnd w:id="7"/>
    </w:p>
    <w:p>
      <w:pPr>
        <w:pStyle w:val="a"/>
        <w:spacing w:line="360" w:lineRule="auto"/>
        <w:ind w:firstLine="420"/>
        <w:rPr>
          <w:rFonts w:ascii="宋体" w:eastAsia="宋体" w:hAnsi="宋体" w:cs="宋体" w:hint="eastAsia"/>
          <w:b w:val="0"/>
          <w:bCs w:val="0"/>
          <w:color w:val="auto"/>
          <w:sz w:val="21"/>
          <w:szCs w:val="21"/>
          <w:highlight w:val="none"/>
          <w:lang w:val="en-US" w:eastAsia="zh-CN"/>
        </w:rPr>
      </w:pPr>
      <w:r>
        <w:rPr>
          <w:rFonts w:ascii="宋体" w:hAnsi="宋体" w:cs="宋体" w:hint="eastAsia"/>
          <w:color w:val="auto"/>
          <w:sz w:val="21"/>
          <w:szCs w:val="21"/>
          <w:highlight w:val="none"/>
          <w:lang w:eastAsia="zh-CN"/>
        </w:rPr>
        <w:t>响应人</w:t>
      </w:r>
      <w:r>
        <w:rPr>
          <w:rFonts w:ascii="宋体" w:hAnsi="宋体" w:cs="宋体" w:hint="eastAsia"/>
          <w:color w:val="auto"/>
          <w:sz w:val="21"/>
          <w:szCs w:val="21"/>
          <w:highlight w:val="none"/>
        </w:rPr>
        <w:t>根据双流机场所提供的未来旅客吞吐量数据进行合理测算，并向机场方提供项目期内的经营计划书，</w:t>
      </w:r>
      <w:r>
        <w:rPr>
          <w:rFonts w:ascii="宋体" w:hAnsi="宋体" w:cs="宋体" w:hint="eastAsia"/>
          <w:b w:val="0"/>
          <w:bCs w:val="0"/>
          <w:color w:val="auto"/>
          <w:sz w:val="21"/>
          <w:szCs w:val="21"/>
          <w:highlight w:val="none"/>
        </w:rPr>
        <w:t>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 w:val="21"/>
          <w:szCs w:val="21"/>
          <w:highlight w:val="none"/>
        </w:rPr>
        <w:t>4.</w:t>
      </w:r>
      <w:r>
        <w:rPr>
          <w:rFonts w:ascii="宋体" w:hAnsi="宋体" w:cs="宋体" w:hint="eastAsia"/>
          <w:color w:val="auto"/>
          <w:sz w:val="21"/>
          <w:szCs w:val="21"/>
          <w:highlight w:val="none"/>
          <w:lang w:val="en-US" w:eastAsia="zh-CN"/>
        </w:rPr>
        <w:t>4</w:t>
      </w:r>
      <w:r>
        <w:rPr>
          <w:rFonts w:ascii="宋体" w:hAnsi="宋体" w:cs="宋体" w:hint="eastAsia"/>
          <w:color w:val="auto"/>
          <w:kern w:val="0"/>
          <w:szCs w:val="21"/>
          <w:highlight w:val="none"/>
          <w:lang/>
        </w:rPr>
        <w:t>本项目店铺</w:t>
      </w:r>
      <w:r>
        <w:rPr>
          <w:rFonts w:ascii="宋体" w:hAnsi="宋体" w:cs="宋体" w:hint="eastAsia"/>
          <w:color w:val="auto"/>
          <w:kern w:val="0"/>
          <w:szCs w:val="21"/>
          <w:highlight w:val="none"/>
          <w:lang w:val="en-US" w:eastAsia="zh-CN"/>
        </w:rPr>
        <w:t>装修</w:t>
      </w:r>
      <w:r>
        <w:rPr>
          <w:rFonts w:ascii="宋体" w:hAnsi="宋体" w:cs="宋体" w:hint="eastAsia"/>
          <w:color w:val="auto"/>
          <w:kern w:val="0"/>
          <w:szCs w:val="21"/>
          <w:highlight w:val="none"/>
          <w:lang/>
        </w:rPr>
        <w:t>设计效果图</w:t>
      </w:r>
    </w:p>
    <w:p>
      <w:pPr>
        <w:spacing w:line="360" w:lineRule="auto"/>
        <w:ind w:firstLine="420"/>
        <w:rPr>
          <w:rFonts w:ascii="宋体" w:eastAsia="宋体" w:hAnsi="宋体" w:cs="宋体" w:hint="eastAsia"/>
          <w:color w:val="auto"/>
          <w:sz w:val="21"/>
          <w:szCs w:val="21"/>
          <w:highlight w:val="none"/>
          <w:lang w:eastAsia="zh-CN"/>
        </w:rPr>
      </w:pPr>
      <w:r>
        <w:rPr>
          <w:rFonts w:ascii="宋体" w:hAnsi="宋体" w:cs="宋体" w:hint="eastAsia"/>
          <w:color w:val="auto"/>
          <w:szCs w:val="21"/>
          <w:highlight w:val="none"/>
        </w:rPr>
        <w:t>提供多角度渲染设计图</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outlineLvl w:val="2"/>
        <w:rPr>
          <w:rFonts w:asciiTheme="minorEastAsia" w:eastAsiaTheme="minorEastAsia" w:hAnsiTheme="minorEastAsia" w:cstheme="minorEastAsia" w:hint="eastAsia"/>
          <w:b/>
          <w:bCs/>
          <w:color w:val="auto"/>
          <w:szCs w:val="21"/>
          <w:highlight w:val="none"/>
        </w:rPr>
      </w:pPr>
      <w:bookmarkStart w:id="8" w:name="_Toc6984"/>
      <w:r>
        <w:rPr>
          <w:rFonts w:asciiTheme="minorEastAsia" w:eastAsiaTheme="minorEastAsia" w:hAnsiTheme="minorEastAsia" w:cstheme="minorEastAsia" w:hint="eastAsia"/>
          <w:b/>
          <w:bCs/>
          <w:color w:val="auto"/>
          <w:szCs w:val="21"/>
          <w:highlight w:val="none"/>
        </w:rPr>
        <w:t>5.品牌</w:t>
      </w:r>
      <w:bookmarkEnd w:id="8"/>
      <w:r>
        <w:rPr>
          <w:rFonts w:asciiTheme="minorEastAsia" w:eastAsiaTheme="minorEastAsia" w:hAnsiTheme="minorEastAsia" w:cstheme="minorEastAsia" w:hint="eastAsia"/>
          <w:b/>
          <w:bCs/>
          <w:color w:val="auto"/>
          <w:szCs w:val="21"/>
          <w:highlight w:val="none"/>
        </w:rPr>
        <w:t>情况</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5.1</w:t>
      </w:r>
      <w:r>
        <w:rPr>
          <w:rFonts w:asciiTheme="minorEastAsia" w:eastAsiaTheme="minorEastAsia" w:hAnsiTheme="minorEastAsia" w:cstheme="minorEastAsia" w:hint="eastAsia"/>
          <w:color w:val="auto"/>
          <w:szCs w:val="21"/>
          <w:highlight w:val="none"/>
          <w:lang w:val="en-US" w:eastAsia="zh-CN"/>
        </w:rPr>
        <w:t>品牌在国内城市开店数量（含机场）</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1.品牌布局情况按照202</w:t>
      </w:r>
      <w:r>
        <w:rPr>
          <w:rFonts w:asciiTheme="minorEastAsia" w:eastAsiaTheme="minorEastAsia" w:hAnsiTheme="minorEastAsia" w:cstheme="minorEastAsia" w:hint="eastAsia"/>
          <w:color w:val="auto"/>
          <w:szCs w:val="21"/>
          <w:highlight w:val="none"/>
          <w:lang w:val="en-US" w:eastAsia="zh-CN"/>
        </w:rPr>
        <w:t>5</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lang w:val="en-US" w:eastAsia="zh-CN"/>
        </w:rPr>
        <w:t>04月30日</w:t>
      </w:r>
      <w:r>
        <w:rPr>
          <w:rFonts w:asciiTheme="minorEastAsia" w:eastAsiaTheme="minorEastAsia" w:hAnsiTheme="minorEastAsia" w:cstheme="minorEastAsia" w:hint="eastAsia"/>
          <w:color w:val="auto"/>
          <w:szCs w:val="21"/>
          <w:highlight w:val="none"/>
        </w:rPr>
        <w:t>处于正常经营状态的店铺计算，已闭店或处于停业状态的店铺不包含在内。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人需</w:t>
      </w:r>
      <w:r>
        <w:rPr>
          <w:rFonts w:asciiTheme="minorEastAsia" w:eastAsiaTheme="minorEastAsia" w:hAnsiTheme="minorEastAsia" w:cstheme="minorEastAsia" w:hint="eastAsia"/>
          <w:color w:val="auto"/>
          <w:szCs w:val="21"/>
          <w:highlight w:val="none"/>
          <w:lang w:val="en-US" w:eastAsia="zh-CN"/>
        </w:rPr>
        <w:t>提供</w:t>
      </w:r>
      <w:r>
        <w:rPr>
          <w:rFonts w:asciiTheme="minorEastAsia" w:eastAsiaTheme="minorEastAsia" w:hAnsiTheme="minorEastAsia" w:cstheme="minorEastAsia" w:hint="eastAsia"/>
          <w:b/>
          <w:bCs/>
          <w:color w:val="auto"/>
          <w:szCs w:val="21"/>
          <w:highlight w:val="none"/>
          <w:lang w:val="en-US" w:eastAsia="zh-CN"/>
        </w:rPr>
        <w:t>西式快餐连锁品牌官方出具的加盖品牌方公章的开店数量证明文件</w:t>
      </w:r>
      <w:r>
        <w:rPr>
          <w:rFonts w:asciiTheme="minorEastAsia" w:eastAsiaTheme="minorEastAsia" w:hAnsiTheme="minorEastAsia" w:cstheme="minorEastAsia" w:hint="eastAsia"/>
          <w:color w:val="auto"/>
          <w:szCs w:val="21"/>
          <w:highlight w:val="none"/>
          <w:lang w:eastAsia="zh-CN"/>
        </w:rPr>
        <w:t>，</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b/>
          <w:bCs/>
          <w:color w:val="auto"/>
          <w:szCs w:val="21"/>
          <w:highlight w:val="none"/>
        </w:rPr>
        <w:t>人将被予以否决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420"/>
        <w:outlineLvl w:val="9"/>
        <w:rPr>
          <w:rFonts w:asciiTheme="minorEastAsia" w:eastAsiaTheme="minorEastAsia" w:hAnsiTheme="minorEastAsia" w:cstheme="minorEastAsia" w:hint="eastAsia"/>
          <w:color w:val="auto"/>
          <w:kern w:val="2"/>
          <w:szCs w:val="21"/>
          <w:highlight w:val="none"/>
          <w:lang/>
        </w:rPr>
      </w:pPr>
      <w:r>
        <w:rPr>
          <w:rFonts w:asciiTheme="minorEastAsia" w:eastAsiaTheme="minorEastAsia" w:hAnsiTheme="minorEastAsia" w:cstheme="minorEastAsia" w:hint="eastAsia"/>
          <w:color w:val="auto"/>
          <w:kern w:val="2"/>
          <w:szCs w:val="21"/>
          <w:highlight w:val="none"/>
          <w:lang w:eastAsia="zh-CN"/>
        </w:rPr>
        <w:t>3</w:t>
      </w:r>
      <w:r>
        <w:rPr>
          <w:rFonts w:asciiTheme="minorEastAsia" w:eastAsiaTheme="minorEastAsia" w:hAnsiTheme="minorEastAsia" w:cstheme="minorEastAsia" w:hint="eastAsia"/>
          <w:color w:val="auto"/>
          <w:kern w:val="2"/>
          <w:szCs w:val="21"/>
          <w:highlight w:val="none"/>
          <w:lang w:val="en-US" w:eastAsia="zh-CN"/>
        </w:rPr>
        <w:t>.</w:t>
      </w:r>
      <w:r>
        <w:rPr>
          <w:rFonts w:asciiTheme="minorEastAsia" w:eastAsiaTheme="minorEastAsia" w:hAnsiTheme="minorEastAsia" w:cstheme="minorEastAsia" w:hint="eastAsia"/>
          <w:color w:val="auto"/>
          <w:kern w:val="2"/>
          <w:szCs w:val="21"/>
          <w:highlight w:val="none"/>
          <w:lang w:eastAsia="zh-CN"/>
        </w:rPr>
        <w:t>响应</w:t>
      </w:r>
      <w:r>
        <w:rPr>
          <w:rFonts w:asciiTheme="minorEastAsia" w:eastAsiaTheme="minorEastAsia" w:hAnsiTheme="minorEastAsia" w:cstheme="minorEastAsia" w:hint="eastAsia"/>
          <w:color w:val="auto"/>
          <w:kern w:val="2"/>
          <w:szCs w:val="21"/>
          <w:highlight w:val="none"/>
          <w:lang/>
        </w:rPr>
        <w:t>人</w:t>
      </w:r>
      <w:r>
        <w:rPr>
          <w:rFonts w:asciiTheme="minorEastAsia" w:eastAsiaTheme="minorEastAsia" w:hAnsiTheme="minorEastAsia" w:cstheme="minorEastAsia" w:hint="eastAsia"/>
          <w:color w:val="auto"/>
          <w:kern w:val="2"/>
          <w:szCs w:val="21"/>
          <w:highlight w:val="none"/>
          <w:lang w:val="en-US" w:eastAsia="zh-CN"/>
        </w:rPr>
        <w:t>投报品牌</w:t>
      </w:r>
      <w:r>
        <w:rPr>
          <w:rFonts w:asciiTheme="minorEastAsia" w:eastAsiaTheme="minorEastAsia" w:hAnsiTheme="minorEastAsia" w:cstheme="minorEastAsia" w:hint="eastAsia"/>
          <w:color w:val="auto"/>
          <w:szCs w:val="21"/>
          <w:highlight w:val="none"/>
          <w:lang w:val="en-US" w:eastAsia="zh-CN"/>
        </w:rPr>
        <w:t>若无国内城市</w:t>
      </w:r>
      <w:r>
        <w:rPr>
          <w:rFonts w:asciiTheme="minorEastAsia" w:eastAsiaTheme="minorEastAsia" w:hAnsiTheme="minorEastAsia" w:cstheme="minorEastAsia" w:hint="eastAsia"/>
          <w:color w:val="auto"/>
          <w:kern w:val="2"/>
          <w:szCs w:val="21"/>
          <w:highlight w:val="none"/>
          <w:lang w:val="en-US" w:eastAsia="zh-CN"/>
        </w:rPr>
        <w:t>布局</w:t>
      </w:r>
      <w:r>
        <w:rPr>
          <w:rFonts w:asciiTheme="minorEastAsia" w:eastAsiaTheme="minorEastAsia" w:hAnsiTheme="minorEastAsia" w:cstheme="minorEastAsia" w:hint="eastAsia"/>
          <w:color w:val="auto"/>
          <w:kern w:val="2"/>
          <w:szCs w:val="21"/>
          <w:highlight w:val="none"/>
          <w:lang/>
        </w:rPr>
        <w:t>，可不提供此方面材料。</w:t>
      </w:r>
    </w:p>
    <w:p>
      <w:pPr>
        <w:pStyle w:val="a"/>
        <w:shd w:val="clear" w:color="auto" w:fill="auto"/>
        <w:rPr>
          <w:rFonts w:asciiTheme="minorEastAsia" w:eastAsiaTheme="minorEastAsia" w:hAnsiTheme="minorEastAsia" w:cstheme="minorEastAsia" w:hint="eastAsia"/>
          <w:color w:val="auto"/>
          <w:highlight w:val="none"/>
        </w:rPr>
      </w:pPr>
    </w:p>
    <w:tbl>
      <w:tblPr>
        <w:tblStyle w:val="TableNormal"/>
        <w:tblpPr w:leftFromText="180" w:rightFromText="180" w:vertAnchor="text" w:horzAnchor="page" w:tblpX="2169" w:tblpY="786"/>
        <w:tblOverlap w:val="never"/>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98"/>
        <w:gridCol w:w="2806"/>
        <w:gridCol w:w="3314"/>
      </w:tblGrid>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69"/>
        </w:trPr>
        <w:tc>
          <w:tcPr>
            <w:tcW w:w="1298" w:type="dxa"/>
            <w:vAlign w:val="center"/>
          </w:tcPr>
          <w:p>
            <w:pPr>
              <w:shd w:val="clear" w:color="auto" w:fill="auto"/>
              <w:spacing w:line="360" w:lineRule="auto"/>
              <w:ind w:firstLine="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rPr>
              <w:t>序号</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在营门店数量</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1</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lang w:val="en-US" w:eastAsia="zh-CN"/>
              </w:rPr>
              <w:t>成都</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XXX</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3</w:t>
            </w:r>
          </w:p>
        </w:tc>
        <w:tc>
          <w:tcPr>
            <w:tcW w:w="2806"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w:t>
            </w:r>
          </w:p>
        </w:tc>
        <w:tc>
          <w:tcPr>
            <w:tcW w:w="2806"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1298"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2806" w:type="dxa"/>
            <w:vAlign w:val="center"/>
          </w:tcPr>
          <w:p>
            <w:pPr>
              <w:shd w:val="clear" w:color="auto" w:fill="auto"/>
              <w:spacing w:line="360" w:lineRule="auto"/>
              <w:ind w:left="0"/>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c>
          <w:tcPr>
            <w:tcW w:w="331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w:t>
            </w:r>
          </w:p>
        </w:tc>
      </w:tr>
      <w:tr>
        <w:tblPrEx>
          <w:tblW w:w="741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418" w:type="dxa"/>
            <w:gridSpan w:val="3"/>
            <w:vAlign w:val="center"/>
          </w:tcPr>
          <w:p>
            <w:pPr>
              <w:shd w:val="clear" w:color="auto" w:fill="auto"/>
              <w:spacing w:line="360" w:lineRule="auto"/>
              <w:ind w:left="0"/>
              <w:jc w:val="both"/>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b/>
                <w:bCs/>
                <w:color w:val="auto"/>
                <w:szCs w:val="21"/>
                <w:highlight w:val="none"/>
                <w:lang w:val="en-US" w:eastAsia="zh-CN"/>
              </w:rPr>
              <w:t>截止2025年04月30日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u w:val="single"/>
                <w:lang w:val="en-US" w:eastAsia="zh-CN"/>
              </w:rPr>
              <w:t xml:space="preserve">           （品牌名称）在国内各大城市</w:t>
            </w:r>
            <w:r>
              <w:rPr>
                <w:rFonts w:asciiTheme="minorEastAsia" w:eastAsiaTheme="minorEastAsia" w:hAnsiTheme="minorEastAsia" w:cstheme="minorEastAsia" w:hint="eastAsia"/>
                <w:b/>
                <w:bCs/>
                <w:color w:val="auto"/>
                <w:szCs w:val="21"/>
                <w:highlight w:val="none"/>
                <w:lang w:val="en-US" w:eastAsia="zh-CN"/>
              </w:rPr>
              <w:t>共开设</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b/>
                <w:bCs/>
                <w:color w:val="auto"/>
                <w:szCs w:val="21"/>
                <w:highlight w:val="none"/>
                <w:u w:val="single"/>
                <w:lang w:val="en-US" w:eastAsia="zh-CN"/>
              </w:rPr>
              <w:t xml:space="preserve">           XXXX</w:t>
            </w:r>
            <w:r>
              <w:rPr>
                <w:rFonts w:asciiTheme="minorEastAsia" w:eastAsiaTheme="minorEastAsia" w:hAnsiTheme="minorEastAsia" w:cstheme="minorEastAsia" w:hint="eastAsia"/>
                <w:b/>
                <w:bCs/>
                <w:color w:val="auto"/>
                <w:szCs w:val="21"/>
                <w:highlight w:val="none"/>
              </w:rPr>
              <w:t>家</w:t>
            </w:r>
            <w:r>
              <w:rPr>
                <w:rFonts w:asciiTheme="minorEastAsia" w:eastAsiaTheme="minorEastAsia" w:hAnsiTheme="minorEastAsia" w:cstheme="minorEastAsia" w:hint="eastAsia"/>
                <w:b/>
                <w:bCs/>
                <w:color w:val="auto"/>
                <w:szCs w:val="21"/>
                <w:highlight w:val="none"/>
                <w:lang w:val="en-US" w:eastAsia="zh-CN"/>
              </w:rPr>
              <w:t>在营门店</w:t>
            </w:r>
            <w:r>
              <w:rPr>
                <w:rFonts w:asciiTheme="minorEastAsia" w:eastAsiaTheme="minorEastAsia" w:hAnsiTheme="minorEastAsia" w:cstheme="minorEastAsia" w:hint="eastAsia"/>
                <w:color w:val="auto"/>
                <w:highlight w:val="none"/>
                <w:lang w:eastAsia="zh-CN"/>
              </w:rPr>
              <w:t>。</w:t>
            </w:r>
          </w:p>
        </w:tc>
      </w:tr>
    </w:tbl>
    <w:p>
      <w:pPr>
        <w:shd w:val="clear" w:color="auto" w:fill="auto"/>
        <w:spacing w:line="360" w:lineRule="auto"/>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lang w:val="en-US" w:eastAsia="zh-CN"/>
        </w:rPr>
        <w:t>开店数量证明材料参考格式：</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r>
        <w:rPr>
          <w:rFonts w:asciiTheme="minorEastAsia" w:eastAsiaTheme="minorEastAsia" w:hAnsiTheme="minorEastAsia" w:cstheme="minorEastAsia" w:hint="eastAsia"/>
          <w:color w:val="auto"/>
          <w:szCs w:val="21"/>
          <w:highlight w:val="none"/>
        </w:rPr>
        <w:t>(加盖公章）</w:t>
      </w:r>
    </w:p>
    <w:p>
      <w:pPr>
        <w:pStyle w:val="ListParagraph"/>
        <w:numPr>
          <w:ilvl w:val="-1"/>
          <w:numId w:val="0"/>
        </w:numPr>
        <w:shd w:val="clear" w:color="auto" w:fill="auto"/>
        <w:spacing w:line="360" w:lineRule="auto"/>
        <w:jc w:val="right"/>
        <w:rPr>
          <w:rFonts w:asciiTheme="minorEastAsia" w:eastAsiaTheme="minorEastAsia" w:hAnsiTheme="minorEastAsia" w:cstheme="minorEastAsia" w:hint="eastAsia"/>
          <w:color w:val="auto"/>
          <w:szCs w:val="21"/>
          <w:highlight w:val="none"/>
          <w:lang w:val="en-US" w:eastAsia="zh-CN"/>
        </w:rPr>
      </w:pPr>
    </w:p>
    <w:p>
      <w:pPr>
        <w:pStyle w:val="ListParagraph"/>
        <w:numPr>
          <w:ilvl w:val="-1"/>
          <w:numId w:val="0"/>
        </w:numPr>
        <w:shd w:val="clear" w:color="auto" w:fill="auto"/>
        <w:spacing w:line="360" w:lineRule="auto"/>
        <w:jc w:val="left"/>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szCs w:val="21"/>
          <w:highlight w:val="none"/>
        </w:rPr>
        <w:br w:type="page"/>
      </w:r>
    </w:p>
    <w:p>
      <w:pPr>
        <w:spacing w:line="360" w:lineRule="auto"/>
        <w:ind w:firstLine="420"/>
        <w:jc w:val="left"/>
        <w:outlineLvl w:val="3"/>
        <w:rPr>
          <w:rFonts w:ascii="宋体" w:eastAsia="宋体" w:hAnsi="宋体" w:cs="宋体" w:hint="eastAsia"/>
          <w:color w:val="auto"/>
          <w:szCs w:val="21"/>
          <w:highlight w:val="none"/>
          <w:lang w:eastAsia="zh-CN"/>
        </w:rPr>
      </w:pPr>
      <w:r>
        <w:rPr>
          <w:rFonts w:asciiTheme="minorEastAsia" w:eastAsiaTheme="minorEastAsia" w:hAnsiTheme="minorEastAsia" w:cstheme="minorEastAsia" w:hint="eastAsia"/>
          <w:color w:val="auto"/>
          <w:szCs w:val="21"/>
          <w:highlight w:val="none"/>
        </w:rPr>
        <w:t>5.2</w:t>
      </w:r>
      <w:r>
        <w:rPr>
          <w:rFonts w:ascii="宋体" w:hAnsi="宋体" w:cs="宋体" w:hint="eastAsia"/>
          <w:color w:val="auto"/>
          <w:szCs w:val="21"/>
          <w:highlight w:val="none"/>
        </w:rPr>
        <w:t>品牌坪效</w:t>
      </w:r>
      <w:r>
        <w:rPr>
          <w:rFonts w:ascii="宋体" w:hAnsi="宋体" w:cs="宋体" w:hint="eastAsia"/>
          <w:color w:val="auto"/>
          <w:szCs w:val="21"/>
          <w:highlight w:val="none"/>
          <w:lang w:eastAsia="zh-CN"/>
        </w:rPr>
        <w:t>（</w:t>
      </w:r>
      <w:r>
        <w:rPr>
          <w:rFonts w:ascii="宋体" w:hAnsi="宋体" w:cs="宋体" w:hint="eastAsia"/>
          <w:color w:val="auto"/>
          <w:kern w:val="2"/>
          <w:szCs w:val="21"/>
          <w:highlight w:val="none"/>
          <w:lang/>
        </w:rPr>
        <w:t>单店年销售额/该单店面积所占平方米数</w:t>
      </w:r>
      <w:r>
        <w:rPr>
          <w:rFonts w:ascii="宋体" w:hAnsi="宋体" w:cs="宋体" w:hint="eastAsia"/>
          <w:color w:val="auto"/>
          <w:szCs w:val="21"/>
          <w:highlight w:val="none"/>
          <w:lang w:eastAsia="zh-CN"/>
        </w:rPr>
        <w:t>）</w:t>
      </w:r>
    </w:p>
    <w:p>
      <w:pPr>
        <w:spacing w:line="360" w:lineRule="auto"/>
        <w:ind w:firstLine="420"/>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响应人</w:t>
      </w:r>
      <w:r>
        <w:rPr>
          <w:rFonts w:ascii="宋体" w:hAnsi="宋体" w:cs="宋体" w:hint="eastAsia"/>
          <w:color w:val="auto"/>
          <w:szCs w:val="21"/>
          <w:highlight w:val="none"/>
        </w:rPr>
        <w:t>须提供购物中心或机场业主方提供的</w:t>
      </w:r>
      <w:r>
        <w:rPr>
          <w:rFonts w:ascii="宋体" w:hAnsi="宋体" w:cs="宋体" w:hint="eastAsia"/>
          <w:color w:val="auto"/>
          <w:szCs w:val="21"/>
          <w:highlight w:val="none"/>
          <w:lang w:val="en-US" w:eastAsia="zh-CN"/>
        </w:rPr>
        <w:t>2024年度或2024年X月-2025年X月（满12个月）品牌坪效的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若为知名连锁品牌，对品牌方官方出具的证明文件予以认可，需加盖品牌方公章</w:t>
      </w:r>
      <w:r>
        <w:rPr>
          <w:rFonts w:ascii="宋体" w:hAnsi="宋体" w:cs="宋体" w:hint="eastAsia"/>
          <w:b w:val="0"/>
          <w:bCs w:val="0"/>
          <w:color w:val="auto"/>
          <w:szCs w:val="21"/>
          <w:highlight w:val="none"/>
          <w:lang w:eastAsia="zh-CN"/>
        </w:rPr>
        <w:t>。</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lang w:eastAsia="zh-CN"/>
        </w:rPr>
      </w:pPr>
    </w:p>
    <w:p>
      <w:pPr>
        <w:shd w:val="clear" w:color="auto" w:fill="auto"/>
        <w:spacing w:line="360" w:lineRule="auto"/>
        <w:rPr>
          <w:rFonts w:asciiTheme="minorEastAsia" w:eastAsiaTheme="minorEastAsia" w:hAnsiTheme="minorEastAsia" w:cstheme="minorEastAsia" w:hint="eastAsia"/>
          <w:color w:val="auto"/>
          <w:szCs w:val="21"/>
          <w:highlight w:val="none"/>
          <w:lang w:eastAsia="zh-CN"/>
        </w:rPr>
      </w:pPr>
    </w:p>
    <w:p>
      <w:pPr>
        <w:pStyle w:val="a"/>
        <w:shd w:val="clear" w:color="auto" w:fill="auto"/>
        <w:rPr>
          <w:rFonts w:asciiTheme="minorEastAsia" w:eastAsiaTheme="minorEastAsia" w:hAnsiTheme="minorEastAsia" w:cstheme="minorEastAsia" w:hint="eastAsia"/>
          <w:color w:val="auto"/>
          <w:kern w:val="2"/>
          <w:sz w:val="21"/>
          <w:szCs w:val="21"/>
          <w:highlight w:val="none"/>
          <w:lang w:val="en-US" w:eastAsia="zh-CN" w:bidi="ar-SA"/>
        </w:rPr>
      </w:pPr>
    </w:p>
    <w:p>
      <w:pPr>
        <w:shd w:val="clear" w:color="auto" w:fill="auto"/>
        <w:outlineLvl w:val="2"/>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color w:val="auto"/>
          <w:szCs w:val="21"/>
          <w:highlight w:val="none"/>
        </w:rPr>
        <w:br w:type="page"/>
      </w:r>
      <w:r>
        <w:rPr>
          <w:rFonts w:asciiTheme="minorEastAsia" w:eastAsiaTheme="minorEastAsia" w:hAnsiTheme="minorEastAsia" w:cstheme="minorEastAsia" w:hint="eastAsia"/>
          <w:b/>
          <w:bCs/>
          <w:color w:val="auto"/>
          <w:szCs w:val="21"/>
          <w:highlight w:val="none"/>
          <w:lang w:val="en-US" w:eastAsia="zh-CN"/>
        </w:rPr>
        <w:t>6</w:t>
      </w:r>
      <w:r>
        <w:rPr>
          <w:rFonts w:asciiTheme="minorEastAsia" w:eastAsiaTheme="minorEastAsia" w:hAnsiTheme="minorEastAsia" w:cstheme="minorEastAsia" w:hint="eastAsia"/>
          <w:b/>
          <w:bCs/>
          <w:color w:val="auto"/>
          <w:szCs w:val="21"/>
          <w:highlight w:val="none"/>
        </w:rPr>
        <w:t>.</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b/>
          <w:bCs/>
          <w:color w:val="auto"/>
          <w:szCs w:val="21"/>
          <w:highlight w:val="none"/>
        </w:rPr>
        <w:t>人须提供的其他资料</w:t>
      </w:r>
    </w:p>
    <w:p>
      <w:pPr>
        <w:shd w:val="clear" w:color="auto" w:fill="auto"/>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人认为需要提供的其他资料，加盖公章。</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outlineLvl w:val="9"/>
        <w:rPr>
          <w:rFonts w:asciiTheme="minorEastAsia" w:eastAsiaTheme="minorEastAsia" w:hAnsiTheme="minorEastAsia" w:cstheme="minorEastAsia" w:hint="eastAsia"/>
          <w:bCs/>
          <w:color w:val="auto"/>
          <w:szCs w:val="21"/>
          <w:highlight w:val="none"/>
        </w:rPr>
      </w:pPr>
      <w:r>
        <w:rPr>
          <w:rFonts w:asciiTheme="minorEastAsia" w:eastAsiaTheme="minorEastAsia" w:hAnsiTheme="minorEastAsia" w:cstheme="minorEastAsia" w:hint="eastAsia"/>
          <w:bCs/>
          <w:color w:val="auto"/>
          <w:szCs w:val="21"/>
          <w:highlight w:val="none"/>
        </w:rPr>
        <w:br w:type="page"/>
      </w:r>
      <w:bookmarkEnd w:id="3"/>
      <w:bookmarkEnd w:id="4"/>
      <w:bookmarkEnd w:id="5"/>
    </w:p>
    <w:p>
      <w:pPr>
        <w:shd w:val="clear" w:color="auto" w:fill="auto"/>
        <w:spacing w:line="360" w:lineRule="auto"/>
        <w:outlineLvl w:val="1"/>
        <w:rPr>
          <w:rFonts w:asciiTheme="minorEastAsia" w:eastAsiaTheme="minorEastAsia" w:hAnsiTheme="minorEastAsia" w:cstheme="minorEastAsia" w:hint="eastAsia"/>
          <w:b/>
          <w:bCs/>
          <w:color w:val="auto"/>
          <w:sz w:val="24"/>
          <w:highlight w:val="none"/>
        </w:rPr>
      </w:pPr>
      <w:bookmarkStart w:id="9" w:name="_Toc15677"/>
      <w:bookmarkStart w:id="10" w:name="_Toc20826"/>
      <w:r>
        <w:rPr>
          <w:rFonts w:asciiTheme="minorEastAsia" w:eastAsiaTheme="minorEastAsia" w:hAnsiTheme="minorEastAsia" w:cstheme="minorEastAsia" w:hint="eastAsia"/>
          <w:b/>
          <w:bCs/>
          <w:color w:val="auto"/>
          <w:szCs w:val="21"/>
          <w:highlight w:val="none"/>
        </w:rPr>
        <w:t>二、</w:t>
      </w:r>
      <w:bookmarkEnd w:id="9"/>
      <w:r>
        <w:rPr>
          <w:rFonts w:asciiTheme="minorEastAsia" w:eastAsiaTheme="minorEastAsia" w:hAnsiTheme="minorEastAsia" w:cstheme="minorEastAsia" w:hint="eastAsia"/>
          <w:b/>
          <w:bCs/>
          <w:color w:val="auto"/>
          <w:sz w:val="24"/>
          <w:highlight w:val="none"/>
        </w:rPr>
        <w:t>商务方案分册</w:t>
      </w:r>
      <w:bookmarkEnd w:id="10"/>
    </w:p>
    <w:p>
      <w:pPr>
        <w:shd w:val="clear" w:color="auto" w:fill="auto"/>
        <w:spacing w:line="360" w:lineRule="auto"/>
        <w:jc w:val="center"/>
        <w:rPr>
          <w:rFonts w:asciiTheme="minorEastAsia" w:eastAsiaTheme="minorEastAsia" w:hAnsiTheme="minorEastAsia" w:cstheme="minorEastAsia" w:hint="default"/>
          <w:b/>
          <w:bCs/>
          <w:color w:val="auto"/>
          <w:sz w:val="28"/>
          <w:szCs w:val="28"/>
          <w:highlight w:val="none"/>
          <w:lang w:val="en-US" w:eastAsia="zh-CN"/>
        </w:rPr>
      </w:pPr>
      <w:bookmarkStart w:id="11" w:name="_GoBack"/>
      <w:r>
        <w:rPr>
          <w:rFonts w:asciiTheme="minorEastAsia" w:eastAsiaTheme="minorEastAsia" w:hAnsiTheme="minorEastAsia" w:cstheme="minorEastAsia" w:hint="eastAsia"/>
          <w:b/>
          <w:bCs/>
          <w:color w:val="auto"/>
          <w:sz w:val="28"/>
          <w:szCs w:val="28"/>
          <w:highlight w:val="none"/>
          <w:lang w:val="en-US" w:eastAsia="zh-CN"/>
        </w:rPr>
        <w:t>T</w:t>
      </w:r>
      <w:bookmarkEnd w:id="11"/>
      <w:r>
        <w:rPr>
          <w:rFonts w:asciiTheme="minorEastAsia" w:eastAsiaTheme="minorEastAsia" w:hAnsiTheme="minorEastAsia" w:cstheme="minorEastAsia" w:hint="eastAsia"/>
          <w:b/>
          <w:bCs/>
          <w:color w:val="auto"/>
          <w:sz w:val="28"/>
          <w:szCs w:val="28"/>
          <w:highlight w:val="none"/>
          <w:lang w:val="en-US" w:eastAsia="zh-CN"/>
        </w:rPr>
        <w:t>2航站楼</w:t>
      </w:r>
    </w:p>
    <w:p>
      <w:pPr>
        <w:shd w:val="clear" w:color="auto" w:fill="auto"/>
        <w:spacing w:line="360" w:lineRule="auto"/>
        <w:jc w:val="center"/>
        <w:rPr>
          <w:rFonts w:asciiTheme="minorEastAsia" w:eastAsiaTheme="minorEastAsia" w:hAnsiTheme="minorEastAsia" w:cstheme="minorEastAsia" w:hint="eastAsia"/>
          <w:b/>
          <w:bCs/>
          <w:color w:val="auto"/>
          <w:sz w:val="28"/>
          <w:szCs w:val="28"/>
          <w:highlight w:val="none"/>
        </w:rPr>
      </w:pPr>
      <w:r>
        <w:rPr>
          <w:rFonts w:asciiTheme="minorEastAsia" w:eastAsiaTheme="minorEastAsia" w:hAnsiTheme="minorEastAsia" w:cstheme="minorEastAsia" w:hint="eastAsia"/>
          <w:b/>
          <w:bCs/>
          <w:color w:val="auto"/>
          <w:sz w:val="28"/>
          <w:szCs w:val="28"/>
          <w:highlight w:val="none"/>
          <w:lang w:val="en-US" w:eastAsia="zh-CN"/>
        </w:rPr>
        <w:t>西式快餐类</w:t>
      </w:r>
      <w:r>
        <w:rPr>
          <w:rFonts w:asciiTheme="minorEastAsia" w:eastAsiaTheme="minorEastAsia" w:hAnsiTheme="minorEastAsia" w:cstheme="minorEastAsia"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招标编号</w:t>
            </w:r>
          </w:p>
        </w:tc>
        <w:tc>
          <w:tcPr>
            <w:tcW w:w="6227"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UM-F-2E</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标段</w:t>
            </w:r>
          </w:p>
        </w:tc>
        <w:tc>
          <w:tcPr>
            <w:tcW w:w="6227" w:type="dxa"/>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w:t>
            </w:r>
          </w:p>
        </w:tc>
        <w:tc>
          <w:tcPr>
            <w:tcW w:w="6227" w:type="dxa"/>
          </w:tcPr>
          <w:p>
            <w:pPr>
              <w:shd w:val="clear" w:color="auto" w:fill="auto"/>
              <w:spacing w:line="360" w:lineRule="auto"/>
              <w:rPr>
                <w:rFonts w:asciiTheme="minorEastAsia" w:eastAsiaTheme="minorEastAsia" w:hAnsiTheme="minorEastAsia" w:cstheme="minorEastAsia" w:hint="eastAsia"/>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经营期限</w:t>
            </w:r>
          </w:p>
        </w:tc>
        <w:tc>
          <w:tcPr>
            <w:tcW w:w="6227" w:type="dxa"/>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签约</w:t>
            </w:r>
            <w:r>
              <w:rPr>
                <w:rFonts w:asciiTheme="minorEastAsia" w:eastAsiaTheme="minorEastAsia" w:hAnsiTheme="minorEastAsia" w:cstheme="minorEastAsia" w:hint="eastAsia"/>
                <w:color w:val="auto"/>
                <w:szCs w:val="21"/>
                <w:highlight w:val="none"/>
                <w:lang w:val="en-US" w:eastAsia="zh-CN"/>
              </w:rPr>
              <w:t>3</w:t>
            </w:r>
            <w:r>
              <w:rPr>
                <w:rFonts w:asciiTheme="minorEastAsia" w:eastAsiaTheme="minorEastAsia" w:hAnsiTheme="minorEastAsia" w:cstheme="minorEastAsia" w:hint="eastAsia"/>
                <w:color w:val="auto"/>
                <w:szCs w:val="21"/>
                <w:highlight w:val="none"/>
              </w:rPr>
              <w:t>年，双方无异议顺延</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hd w:val="clear" w:color="auto" w:fill="auto"/>
              <w:spacing w:line="360" w:lineRule="auto"/>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双流机场</w:t>
            </w:r>
            <w:r>
              <w:rPr>
                <w:rFonts w:asciiTheme="minorEastAsia" w:eastAsiaTheme="minorEastAsia" w:hAnsiTheme="minorEastAsia" w:cstheme="minorEastAsia" w:hint="eastAsia"/>
                <w:color w:val="auto"/>
                <w:szCs w:val="21"/>
                <w:highlight w:val="none"/>
                <w:lang w:val="en-US" w:eastAsia="zh-CN"/>
              </w:rPr>
              <w:t>T2</w:t>
            </w:r>
            <w:r>
              <w:rPr>
                <w:rFonts w:asciiTheme="minorEastAsia" w:eastAsiaTheme="minorEastAsia" w:hAnsiTheme="minorEastAsia" w:cstheme="minorEastAsia" w:hint="eastAsia"/>
                <w:color w:val="auto"/>
                <w:szCs w:val="21"/>
                <w:highlight w:val="none"/>
              </w:rPr>
              <w:t>航站楼月旅客吞吐量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theme="minorEastAsia" w:hint="eastAsia"/>
                <w:color w:val="auto"/>
                <w:szCs w:val="21"/>
                <w:highlight w:val="none"/>
              </w:rPr>
              <w:t>万人次时月保底经营费用单价（元/平方米/月）</w:t>
            </w:r>
          </w:p>
        </w:tc>
        <w:tc>
          <w:tcPr>
            <w:tcW w:w="6227"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销售额提成比例</w:t>
            </w:r>
          </w:p>
        </w:tc>
        <w:tc>
          <w:tcPr>
            <w:tcW w:w="6227" w:type="dxa"/>
            <w:vAlign w:val="center"/>
          </w:tcPr>
          <w:p>
            <w:pPr>
              <w:pStyle w:val="a"/>
              <w:shd w:val="clear" w:color="auto" w:fill="auto"/>
              <w:spacing w:line="360" w:lineRule="auto"/>
              <w:jc w:val="center"/>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u w:val="single"/>
              </w:rPr>
              <w:t xml:space="preserve">         </w:t>
            </w:r>
            <w:r>
              <w:rPr>
                <w:rFonts w:asciiTheme="minorEastAsia" w:eastAsiaTheme="minorEastAsia" w:hAnsiTheme="minorEastAsia" w:cstheme="minorEastAsia" w:hint="eastAsia"/>
                <w:color w:val="auto"/>
                <w:sz w:val="21"/>
                <w:szCs w:val="21"/>
                <w:highlight w:val="none"/>
              </w:rPr>
              <w:t>%</w:t>
            </w:r>
            <w:r>
              <w:rPr>
                <w:rFonts w:asciiTheme="minorEastAsia" w:eastAsiaTheme="minorEastAsia" w:hAnsiTheme="minorEastAsia" w:cstheme="minorEastAsia"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hd w:val="clear" w:color="auto" w:fill="auto"/>
              <w:spacing w:line="360" w:lineRule="auto"/>
              <w:jc w:val="center"/>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备注</w:t>
            </w:r>
          </w:p>
        </w:tc>
        <w:tc>
          <w:tcPr>
            <w:tcW w:w="6227" w:type="dxa"/>
          </w:tcPr>
          <w:p>
            <w:pPr>
              <w:numPr>
                <w:ilvl w:val="0"/>
                <w:numId w:val="2"/>
              </w:num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租金模式为月保底经营费用与销售额提成两者取高的模式，月保底经营费用及销售额提成比例均须填写。</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2、</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人的月保底经营费用随双流国际机场T</w:t>
            </w:r>
            <w:r>
              <w:rPr>
                <w:rFonts w:asciiTheme="minorEastAsia" w:eastAsiaTheme="minorEastAsia" w:hAnsiTheme="minorEastAsia" w:cstheme="minorEastAsia" w:hint="eastAsia"/>
                <w:color w:val="auto"/>
                <w:szCs w:val="21"/>
                <w:highlight w:val="none"/>
                <w:lang w:val="en-US" w:eastAsia="zh-CN"/>
              </w:rPr>
              <w:t>2</w:t>
            </w:r>
            <w:r>
              <w:rPr>
                <w:rFonts w:asciiTheme="minorEastAsia" w:eastAsiaTheme="minorEastAsia" w:hAnsiTheme="minorEastAsia" w:cstheme="minorEastAsia" w:hint="eastAsia"/>
                <w:color w:val="auto"/>
                <w:szCs w:val="21"/>
                <w:highlight w:val="none"/>
              </w:rPr>
              <w:t>航站楼月</w:t>
            </w:r>
            <w:r>
              <w:rPr>
                <w:rFonts w:asciiTheme="minorEastAsia" w:eastAsiaTheme="minorEastAsia" w:hAnsiTheme="minorEastAsia" w:cstheme="minorEastAsia" w:hint="eastAsia"/>
                <w:color w:val="auto"/>
                <w:highlight w:val="none"/>
              </w:rPr>
              <w:t>旅客</w:t>
            </w:r>
            <w:r>
              <w:rPr>
                <w:rFonts w:asciiTheme="minorEastAsia" w:eastAsiaTheme="minorEastAsia" w:hAnsiTheme="minorEastAsia" w:cstheme="minorEastAsia"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231.7</w:t>
            </w:r>
            <w:r>
              <w:rPr>
                <w:rFonts w:asciiTheme="minorEastAsia" w:eastAsiaTheme="minorEastAsia" w:hAnsiTheme="minorEastAsia" w:cstheme="minorEastAsia" w:hint="eastAsia"/>
                <w:color w:val="auto"/>
                <w:szCs w:val="21"/>
                <w:highlight w:val="none"/>
              </w:rPr>
              <w:t>万人次进行调整。</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3、经营费用计算均以人民币为单位。</w:t>
            </w:r>
          </w:p>
          <w:p>
            <w:pPr>
              <w:shd w:val="clear" w:color="auto" w:fill="auto"/>
              <w:spacing w:line="360" w:lineRule="auto"/>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4、销售额提成比例填报取整。</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E607173"/>
    <w:multiLevelType w:val="singleLevel"/>
    <w:tmpl w:val="5E6071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居中"/>
    <w:basedOn w:val="Normal"/>
    <w:qFormat/>
    <w:pPr>
      <w:spacing w:before="120"/>
      <w:jc w:val="center"/>
    </w:pPr>
    <w:rPr>
      <w:rFonts w:eastAsia="黑体"/>
    </w:r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2025-05-27T07:17:00Z</dcterms:created>
  <dcterms:modified xsi:type="dcterms:W3CDTF">2025-05-29T07:56:36Z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