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tbl>
      <w:tblPr>
        <w:tblStyle w:val="TableNormal"/>
        <w:tblW w:w="0" w:type="auto"/>
        <w:tblInd w:w="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646"/>
        <w:gridCol w:w="2716"/>
        <w:gridCol w:w="6990"/>
      </w:tblGrid>
      <w:tr>
        <w:tblPrEx>
          <w:tblW w:w="0" w:type="auto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114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hint="eastAsia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4"/>
              </w:rPr>
              <w:t>综合服务中心招租综合评分表</w:t>
            </w:r>
          </w:p>
        </w:tc>
      </w:tr>
      <w:tr>
        <w:tblPrEx>
          <w:tblW w:w="0" w:type="auto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综合实力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5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近三年营业收入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根据投标人年均营业收入水平依次排序，分差1分，第一名得5分。</w:t>
            </w:r>
          </w:p>
        </w:tc>
      </w:tr>
      <w:tr>
        <w:tblPrEx>
          <w:tblW w:w="0" w:type="auto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5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抗风险能力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根据投标人银行资信证明/征信证明以及近半年账户存款证明情况依次排序，分差1分，第一名得5分。</w:t>
            </w:r>
          </w:p>
        </w:tc>
      </w:tr>
      <w:tr>
        <w:tblPrEx>
          <w:tblW w:w="0" w:type="auto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经营能力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开店数量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根据投标人的开店数量依次排序，分差1分，第一名得4分。</w:t>
            </w:r>
          </w:p>
        </w:tc>
      </w:tr>
      <w:tr>
        <w:tblPrEx>
          <w:tblW w:w="0" w:type="auto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荣誉业绩情况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根据投标人近三年获得民航或商业地产等业主方（公司级）的荣誉打分，每有一项得1分，最高得3分。</w:t>
            </w:r>
          </w:p>
        </w:tc>
      </w:tr>
      <w:tr>
        <w:tblPrEx>
          <w:tblW w:w="0" w:type="auto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bookmarkStart w:id="0" w:name="_GoBack" w:colFirst="0" w:colLast="0"/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经营方案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管理制度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按照招租公告准备的相关管理制度，齐全得3分；未提供或不齐全得0分。</w:t>
            </w:r>
          </w:p>
        </w:tc>
      </w:tr>
      <w:tr>
        <w:tblPrEx>
          <w:tblW w:w="0" w:type="auto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bookmarkEnd w:id="0"/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6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装修投入及效果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根据投标人装修投入单价水平及装修效果图、店面形象美观等情况进行排序打分，分差1分，第一名得6分。</w:t>
            </w:r>
          </w:p>
        </w:tc>
      </w:tr>
      <w:tr>
        <w:tblPrEx>
          <w:tblW w:w="0" w:type="auto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商品定价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15%＜员工优惠，得4分。</w:t>
            </w:r>
          </w:p>
        </w:tc>
      </w:tr>
      <w:tr>
        <w:tblPrEx>
          <w:tblW w:w="0" w:type="auto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10%＜员工优惠≤15%，得3分。</w:t>
            </w:r>
          </w:p>
        </w:tc>
      </w:tr>
      <w:tr>
        <w:tblPrEx>
          <w:tblW w:w="0" w:type="auto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5%＜员工优惠≤10%，得2分。</w:t>
            </w:r>
          </w:p>
        </w:tc>
      </w:tr>
      <w:tr>
        <w:tblPrEx>
          <w:tblW w:w="0" w:type="auto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0＜员工优惠≤5%，得1分。</w:t>
            </w:r>
          </w:p>
        </w:tc>
      </w:tr>
      <w:tr>
        <w:tblPrEx>
          <w:tblW w:w="0" w:type="auto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无员工优惠，得0分。</w:t>
            </w:r>
          </w:p>
        </w:tc>
      </w:tr>
      <w:tr>
        <w:tblPrEx>
          <w:tblW w:w="0" w:type="auto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5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经营模式及品牌知名度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品牌直营，知名度较高得4-5分；品牌直营，知名度一般得2-3分；品牌加盟，知名度较高得2-3分；品牌加盟，知名度一般得0-1分。</w:t>
            </w:r>
          </w:p>
        </w:tc>
      </w:tr>
      <w:tr>
        <w:tblPrEx>
          <w:tblW w:w="0" w:type="auto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商务报价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55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保底租金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根据各投标人的商务报价，投标人得分=投标人报价/最高报价*55(小数点后保留两位）。</w:t>
            </w:r>
          </w:p>
        </w:tc>
      </w:tr>
      <w:tr>
        <w:tblPrEx>
          <w:tblW w:w="0" w:type="auto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年增长率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投标人年增长率报价不得低于1%，若低于1%则取消评标资格。</w:t>
            </w:r>
          </w:p>
          <w:p>
            <w:pPr>
              <w:spacing w:before="0" w:after="0"/>
              <w:jc w:val="left"/>
              <w:rPr>
                <w:rFonts w:ascii="黑体" w:eastAsia="黑体" w:hAnsi="黑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4"/>
              </w:rPr>
              <w:t>（1）通过初步评审的有效年增长率报价，计算出平均值（四舍五入取整），投标人年增长率报价在该平均值1.2倍以内的，以最高报价为基准价，报价等于基准价即得满分10分。（2）投标人报价每低于基准价一个百分点扣1分，扣完10分为止。（3）投标人年增长率报价超过该平均值1.2倍的，报价每超过该平均值1.2倍一个百分点扣0.5分，扣完10分为止。</w:t>
            </w:r>
          </w:p>
        </w:tc>
      </w:tr>
    </w:tbl>
    <w:p/>
    <w:sectPr>
      <w:pgSz w:w="15840" w:h="12240" w:orient="landscape"/>
      <w:pgMar w:top="1800" w:right="1440" w:bottom="1800" w:left="1440" w:header="720" w:footer="720" w:gutter="0"/>
      <w:lnNumType w:countBy="0" w:distance="360"/>
      <w:cols w:num="1" w:space="720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jc w:val="both"/>
    </w:pPr>
    <w:rPr>
      <w:rFonts w:eastAsia="宋体"/>
      <w:kern w:val="2"/>
      <w:sz w:val="21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2023-08-07T04:18:00Z</dcterms:created>
  <dcterms:modified xsi:type="dcterms:W3CDTF">2025-05-08T08:03:25Z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B61970D2085742F798F2A3873CE1DFE8_12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eyJoZGlkIjoiMTYyOTlmOWM2ZmI2YzVhNjY0Y2U5YjQwNjdjNzRjZjIiLCJ1c2VySWQiOiIyMDk0NDM2NSJ9</vt:lpwstr>
  </property>
</Properties>
</file>