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宋体" w:hAnsi="宋体"/>
          <w:b/>
          <w:bCs/>
          <w:w w:val="90"/>
          <w:sz w:val="28"/>
          <w:szCs w:val="28"/>
        </w:rPr>
      </w:pPr>
      <w:r>
        <w:rPr>
          <w:rFonts w:ascii="宋体" w:hAnsi="宋体" w:hint="eastAsia"/>
          <w:b/>
          <w:bCs/>
          <w:w w:val="90"/>
          <w:sz w:val="28"/>
          <w:szCs w:val="28"/>
        </w:rPr>
        <w:t>附件3 ：</w:t>
      </w:r>
    </w:p>
    <w:p>
      <w:pPr>
        <w:snapToGrid/>
        <w:spacing w:beforeAutospacing="0" w:after="60" w:afterAutospacing="0" w:line="240" w:lineRule="auto"/>
        <w:ind w:left="0" w:right="0" w:firstLine="0"/>
        <w:jc w:val="center"/>
        <w:rPr>
          <w:rFonts w:ascii="黑体" w:eastAsia="黑体" w:hAnsi="宋体" w:cs="宋体" w:hint="eastAsia"/>
          <w:b w:val="0"/>
          <w:w w:val="90"/>
          <w:kern w:val="0"/>
          <w:sz w:val="40"/>
          <w:szCs w:val="36"/>
        </w:rPr>
      </w:pPr>
      <w:r>
        <w:rPr>
          <w:rFonts w:ascii="黑体" w:eastAsia="黑体" w:hAnsi="宋体" w:cs="宋体" w:hint="eastAsia"/>
          <w:b w:val="0"/>
          <w:w w:val="90"/>
          <w:kern w:val="0"/>
          <w:sz w:val="40"/>
          <w:szCs w:val="36"/>
          <w:lang w:val="en-US" w:eastAsia="zh-CN"/>
        </w:rPr>
        <w:t>经营</w:t>
      </w:r>
      <w:r>
        <w:rPr>
          <w:rFonts w:ascii="黑体" w:eastAsia="黑体" w:hAnsi="宋体" w:cs="宋体" w:hint="eastAsia"/>
          <w:b w:val="0"/>
          <w:w w:val="90"/>
          <w:kern w:val="0"/>
          <w:sz w:val="40"/>
          <w:szCs w:val="36"/>
        </w:rPr>
        <w:t>保证书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rPr>
          <w:rFonts w:ascii="仿宋_GB2312" w:eastAsia="仿宋_GB2312" w:hAnsi="仿宋_GB2312" w:cs="仿宋_GB2312" w:hint="eastAsia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我公司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/个体工商户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本着诚实守信的原则，保证如下：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A.银行资信与征信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1.我公司/经营者在中国人民银行征信中心无不良信用记录；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2.近三年无重大银行逾期、被执行或欠税记录。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B.社会稳定与公共安全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1.未发生重大群体性事件或其他影响社会稳定的敏感性事件；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2.未发生过火灾、爆炸、环保事故等重大安全责任事件；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3.展示区和指引设施的设计、施工、运营将严格遵守国家相关安全标准及机场安全技术要求，确保结构稳固、防火防爆、用电安全；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right="0" w:firstLine="0"/>
        <w:jc w:val="left"/>
        <w:textAlignment w:val="baseline"/>
        <w:outlineLvl w:val="0"/>
        <w:rPr>
          <w:rFonts w:ascii="仿宋_GB2312" w:eastAsia="仿宋_GB2312" w:hAnsi="仿宋_GB2312" w:cs="仿宋_GB2312" w:hint="default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4.施工期间采取有效措施，杜绝影响机场正常运营及乘客通行安全的事件发生。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C.合同履约信誉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1.未因拖欠场地租赁费、水电费被提前终止合同；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2.在成都双流机场范围内，未因自身原因（除拖欠费用外）被提前解除合同。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D.环保与文明施工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default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1.</w:t>
      </w:r>
      <w:r>
        <w:rPr>
          <w:rFonts w:ascii="仿宋_GB2312" w:eastAsia="仿宋_GB2312" w:hAnsi="仿宋_GB2312" w:cs="仿宋_GB2312" w:hint="default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展示区建设及运营符合机场环保管理要求，施工过程做到文明施工，建筑垃圾及时清理；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2.运营期间日常维护保养符合机场环保及安全管理规定；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default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3.不产生违规排污、噪音扰民等环保问题。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E.资料真实性与履约承诺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1.严格遵守机场相关管理规定，服从机场方统一管理，积极配合安全检查、应急演练等工作。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2.提供的全部报名资料真实、有效、完整，无弄虚作假；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baseline"/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3.若中选后查实虚假，贵方有权取消中商资格、没收保证金并追究责任。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384"/>
        <w:jc w:val="left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2384"/>
        <w:jc w:val="left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3533"/>
        <w:jc w:val="left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保证商家：XXXXXXX（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  <w:lang w:val="en-US" w:eastAsia="zh-CN"/>
        </w:rPr>
        <w:t>须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盖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鲜章）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56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XX年XX月XX日</w:t>
      </w:r>
    </w:p>
    <w:sectPr>
      <w:headerReference w:type="default" r:id="rId4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3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link w:val="a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2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locked/>
    <w:rPr>
      <w:rFonts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locked/>
    <w:rPr>
      <w:rFonts w:cs="Times New Roman"/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a2">
    <w:name w:val="标题 字符"/>
    <w:basedOn w:val="DefaultParagraphFont"/>
    <w:link w:val="Title"/>
    <w:uiPriority w:val="10"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table" w:customStyle="1" w:styleId="3-31">
    <w:name w:val="中等深浅网格 3 - 强调文字颜色 31"/>
    <w:basedOn w:val="TableNormal"/>
    <w:uiPriority w:val="9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A5A5A5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A5A5A5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band1Vert">
      <w:rPr>
        <w:rFonts w:cs="Times New Roman"/>
      </w: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2D2D2"/>
      </w:tcPr>
    </w:tblStylePr>
    <w:tblStylePr w:type="band1Horz">
      <w:rPr>
        <w:rFonts w:cs="Times New Roman"/>
      </w: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2D2D2"/>
      </w:tcPr>
    </w:tblStylePr>
  </w:style>
  <w:style w:type="table" w:customStyle="1" w:styleId="3-32">
    <w:name w:val="中等深浅网格 3 - 强调文字颜色 3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character" w:customStyle="1" w:styleId="a3">
    <w:name w:val="日期 字符"/>
    <w:basedOn w:val="DefaultParagraphFont"/>
    <w:link w:val="Date"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DefaultParagraphFont"/>
    <w:link w:val="Heading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2</Pages>
  <Words>458</Words>
  <Characters>485</Characters>
  <Application>Microsoft Office Word</Application>
  <DocSecurity>0</DocSecurity>
  <Lines>2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2019-12-18T05:46:00Z</cp:lastPrinted>
  <dcterms:created xsi:type="dcterms:W3CDTF">2018-09-05T07:29:00Z</dcterms:created>
  <dcterms:modified xsi:type="dcterms:W3CDTF">2025-12-22T07:28:40Z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E5AC732A8E4C482EB1EF01C999E5AA32_12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