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2386"/>
      <w:r>
        <w:rPr>
          <w:rFonts w:ascii="宋体" w:hAnsi="宋体" w:cs="宋体" w:hint="eastAsia"/>
          <w:b/>
          <w:bCs/>
          <w:color w:val="auto"/>
          <w:sz w:val="30"/>
          <w:szCs w:val="30"/>
          <w:highlight w:val="none"/>
          <w:lang w:val="en-US" w:eastAsia="zh-CN"/>
        </w:rPr>
        <w:t>附件1-5：商家资料清单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（货币兑换</w:t>
      </w:r>
      <w:r>
        <w:rPr>
          <w:rFonts w:ascii="宋体" w:hAnsi="宋体" w:cs="宋体" w:hint="eastAsia"/>
          <w:b/>
          <w:bCs/>
          <w:color w:val="auto"/>
          <w:sz w:val="28"/>
          <w:szCs w:val="28"/>
          <w:highlight w:val="none"/>
          <w:lang w:val="en-US" w:eastAsia="zh-CN"/>
        </w:rPr>
        <w:t>）</w:t>
      </w:r>
    </w:p>
    <w:p>
      <w:pPr>
        <w:spacing w:line="360" w:lineRule="auto"/>
        <w:jc w:val="both"/>
        <w:outlineLvl w:val="0"/>
        <w:rPr>
          <w:rFonts w:ascii="宋体" w:hAnsi="宋体" w:cs="宋体" w:hint="eastAsia"/>
          <w:b/>
          <w:bCs/>
          <w:color w:val="auto"/>
          <w:sz w:val="52"/>
          <w:szCs w:val="52"/>
          <w:highlight w:val="none"/>
        </w:rPr>
      </w:pPr>
      <w:bookmarkEnd w:id="0"/>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0"/>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0"/>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0"/>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w:t>
      </w:r>
      <w:r>
        <w:rPr>
          <w:rFonts w:ascii="宋体" w:hAnsi="宋体" w:cs="Times New Roman" w:hint="eastAsia"/>
          <w:color w:val="auto"/>
          <w:kern w:val="0"/>
          <w:sz w:val="21"/>
          <w:szCs w:val="20"/>
          <w:highlight w:val="none"/>
          <w:lang w:val="en-US" w:eastAsia="zh-CN" w:bidi="ar-SA"/>
        </w:rPr>
        <w:t>投保的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2025年1</w:t>
      </w:r>
      <w:r>
        <w:rPr>
          <w:rFonts w:ascii="宋体" w:hAnsi="宋体" w:cs="宋体" w:hint="eastAsia"/>
          <w:b w:val="0"/>
          <w:bCs w:val="0"/>
          <w:color w:val="auto"/>
          <w:kern w:val="0"/>
          <w:szCs w:val="21"/>
          <w:highlight w:val="none"/>
          <w:lang w:val="en-US" w:eastAsia="zh-CN"/>
        </w:rPr>
        <w:t>2</w:t>
      </w:r>
      <w:r>
        <w:rPr>
          <w:rFonts w:ascii="宋体" w:hAnsi="宋体" w:cs="宋体" w:hint="eastAsia"/>
          <w:b w:val="0"/>
          <w:bCs w:val="0"/>
          <w:color w:val="auto"/>
          <w:kern w:val="0"/>
          <w:szCs w:val="21"/>
          <w:highlight w:val="none"/>
          <w:lang w:eastAsia="zh-CN"/>
        </w:rPr>
        <w:t>月3</w:t>
      </w:r>
      <w:r>
        <w:rPr>
          <w:rFonts w:ascii="宋体" w:hAnsi="宋体" w:cs="宋体" w:hint="eastAsia"/>
          <w:b w:val="0"/>
          <w:bCs w:val="0"/>
          <w:color w:val="auto"/>
          <w:kern w:val="0"/>
          <w:szCs w:val="21"/>
          <w:highlight w:val="none"/>
          <w:lang w:val="en-US" w:eastAsia="zh-CN"/>
        </w:rPr>
        <w:t>1</w:t>
      </w:r>
      <w:r>
        <w:rPr>
          <w:rFonts w:ascii="宋体" w:hAnsi="宋体" w:cs="宋体" w:hint="eastAsia"/>
          <w:b w:val="0"/>
          <w:bCs w:val="0"/>
          <w:color w:val="auto"/>
          <w:kern w:val="0"/>
          <w:szCs w:val="21"/>
          <w:highlight w:val="none"/>
          <w:lang w:eastAsia="zh-CN"/>
        </w:rPr>
        <w:t>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default"/>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w:t>
            </w:r>
            <w:r>
              <w:rPr>
                <w:rFonts w:asciiTheme="minorEastAsia" w:eastAsiaTheme="minorEastAsia" w:hAnsiTheme="minorEastAsia" w:cstheme="minorEastAsia" w:hint="eastAsia"/>
                <w:b/>
                <w:bCs/>
                <w:color w:val="auto"/>
                <w:szCs w:val="21"/>
                <w:highlight w:val="none"/>
                <w:lang w:val="en-US" w:eastAsia="zh-CN"/>
              </w:rPr>
              <w:t>2</w:t>
            </w:r>
            <w:r>
              <w:rPr>
                <w:rFonts w:asciiTheme="minorEastAsia" w:eastAsiaTheme="minorEastAsia" w:hAnsiTheme="minorEastAsia" w:cstheme="minorEastAsia" w:hint="eastAsia"/>
                <w:b/>
                <w:bCs/>
                <w:color w:val="auto"/>
                <w:szCs w:val="21"/>
                <w:highlight w:val="none"/>
                <w:lang w:eastAsia="zh-CN"/>
              </w:rPr>
              <w:t>月3</w:t>
            </w:r>
            <w:r>
              <w:rPr>
                <w:rFonts w:asciiTheme="minorEastAsia" w:eastAsiaTheme="minorEastAsia" w:hAnsiTheme="minorEastAsia" w:cstheme="minorEastAsia" w:hint="eastAsia"/>
                <w:b/>
                <w:bCs/>
                <w:color w:val="auto"/>
                <w:szCs w:val="21"/>
                <w:highlight w:val="none"/>
                <w:lang w:val="en-US" w:eastAsia="zh-CN"/>
              </w:rPr>
              <w:t>1</w:t>
            </w:r>
            <w:r>
              <w:rPr>
                <w:rFonts w:asciiTheme="minorEastAsia" w:eastAsiaTheme="minorEastAsia" w:hAnsiTheme="minorEastAsia" w:cstheme="minorEastAsia" w:hint="eastAsia"/>
                <w:b/>
                <w:bCs/>
                <w:color w:val="auto"/>
                <w:szCs w:val="21"/>
                <w:highlight w:val="none"/>
                <w:lang w:eastAsia="zh-CN"/>
              </w:rPr>
              <w:t>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2025年1</w:t>
      </w:r>
      <w:r>
        <w:rPr>
          <w:rFonts w:ascii="宋体" w:hAnsi="宋体" w:cs="宋体" w:hint="eastAsia"/>
          <w:b w:val="0"/>
          <w:bCs w:val="0"/>
          <w:color w:val="auto"/>
          <w:kern w:val="0"/>
          <w:szCs w:val="21"/>
          <w:highlight w:val="none"/>
          <w:lang w:val="en-US" w:eastAsia="zh-CN"/>
        </w:rPr>
        <w:t>2</w:t>
      </w:r>
      <w:r>
        <w:rPr>
          <w:rFonts w:ascii="宋体" w:hAnsi="宋体" w:cs="宋体" w:hint="eastAsia"/>
          <w:b w:val="0"/>
          <w:bCs w:val="0"/>
          <w:color w:val="auto"/>
          <w:kern w:val="0"/>
          <w:szCs w:val="21"/>
          <w:highlight w:val="none"/>
          <w:lang w:eastAsia="zh-CN"/>
        </w:rPr>
        <w:t>月3</w:t>
      </w:r>
      <w:r>
        <w:rPr>
          <w:rFonts w:ascii="宋体" w:hAnsi="宋体" w:cs="宋体" w:hint="eastAsia"/>
          <w:b w:val="0"/>
          <w:bCs w:val="0"/>
          <w:color w:val="auto"/>
          <w:kern w:val="0"/>
          <w:szCs w:val="21"/>
          <w:highlight w:val="none"/>
          <w:lang w:val="en-US" w:eastAsia="zh-CN"/>
        </w:rPr>
        <w:t>1</w:t>
      </w:r>
      <w:r>
        <w:rPr>
          <w:rFonts w:ascii="宋体" w:hAnsi="宋体" w:cs="宋体" w:hint="eastAsia"/>
          <w:b w:val="0"/>
          <w:bCs w:val="0"/>
          <w:color w:val="auto"/>
          <w:kern w:val="0"/>
          <w:szCs w:val="21"/>
          <w:highlight w:val="none"/>
          <w:lang w:eastAsia="zh-CN"/>
        </w:rPr>
        <w:t>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w:t>
            </w:r>
            <w:r>
              <w:rPr>
                <w:rFonts w:ascii="宋体" w:hAnsi="宋体" w:cs="宋体" w:hint="eastAsia"/>
                <w:b/>
                <w:bCs/>
                <w:color w:val="auto"/>
                <w:szCs w:val="21"/>
                <w:highlight w:val="none"/>
                <w:lang w:val="en-US" w:eastAsia="zh-CN"/>
              </w:rPr>
              <w:t>2</w:t>
            </w:r>
            <w:r>
              <w:rPr>
                <w:rFonts w:ascii="宋体" w:hAnsi="宋体" w:cs="宋体" w:hint="eastAsia"/>
                <w:b/>
                <w:bCs/>
                <w:color w:val="auto"/>
                <w:szCs w:val="21"/>
                <w:highlight w:val="none"/>
                <w:lang w:eastAsia="zh-CN"/>
              </w:rPr>
              <w:t>月3</w:t>
            </w:r>
            <w:r>
              <w:rPr>
                <w:rFonts w:ascii="宋体" w:hAnsi="宋体" w:cs="宋体" w:hint="eastAsia"/>
                <w:b/>
                <w:bCs/>
                <w:color w:val="auto"/>
                <w:szCs w:val="21"/>
                <w:highlight w:val="none"/>
                <w:lang w:val="en-US" w:eastAsia="zh-CN"/>
              </w:rPr>
              <w:t>1</w:t>
            </w:r>
            <w:r>
              <w:rPr>
                <w:rFonts w:ascii="宋体" w:hAnsi="宋体" w:cs="宋体" w:hint="eastAsia"/>
                <w:b/>
                <w:bCs/>
                <w:color w:val="auto"/>
                <w:szCs w:val="21"/>
                <w:highlight w:val="none"/>
                <w:lang w:eastAsia="zh-CN"/>
              </w:rPr>
              <w:t>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0"/>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bookmarkStart w:id="2" w:name="_Toc27037"/>
      <w:bookmarkStart w:id="3" w:name="_Toc4063"/>
      <w:bookmarkStart w:id="4" w:name="_Hlk41556141"/>
      <w:bookmarkStart w:id="5" w:name="_Toc41558662"/>
      <w:bookmarkStart w:id="6" w:name="_Toc9087"/>
      <w:r>
        <w:rPr>
          <w:rFonts w:ascii="宋体" w:hAnsi="宋体" w:cs="宋体" w:hint="eastAsia"/>
          <w:color w:val="auto"/>
          <w:szCs w:val="21"/>
          <w:highlight w:val="none"/>
          <w:lang w:val="en-US" w:eastAsia="zh-CN"/>
        </w:rPr>
        <w:t>4.2</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kern w:val="0"/>
          <w:szCs w:val="21"/>
          <w:highlight w:val="none"/>
          <w:lang w:val="en-US"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7"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7"/>
      <w:r>
        <w:rPr>
          <w:rFonts w:ascii="宋体" w:hAnsi="宋体" w:cs="宋体" w:hint="eastAsia"/>
          <w:b/>
          <w:bCs/>
          <w:color w:val="auto"/>
          <w:szCs w:val="21"/>
          <w:highlight w:val="none"/>
        </w:rPr>
        <w:t>情况</w:t>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1.1</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2025年1</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lang w:eastAsia="zh-CN"/>
        </w:rPr>
        <w:t>月3</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lang w:eastAsia="zh-CN"/>
        </w:rPr>
        <w:t>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335"/>
        <w:gridCol w:w="1700"/>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335" w:type="dxa"/>
            <w:vAlign w:val="center"/>
          </w:tcPr>
          <w:p>
            <w:pPr>
              <w:spacing w:line="360" w:lineRule="auto"/>
              <w:jc w:val="center"/>
              <w:rPr>
                <w:rFonts w:asciiTheme="minorEastAsia" w:eastAsiaTheme="minorEastAsia" w:hAnsiTheme="minorEastAsia" w:cstheme="minorEastAsia" w:hint="eastAsia"/>
                <w:b/>
                <w:bCs/>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r>
              <w:rPr>
                <w:rFonts w:asciiTheme="minorEastAsia" w:eastAsiaTheme="minorEastAsia" w:hAnsiTheme="minorEastAsia" w:cstheme="minorEastAsia" w:hint="eastAsia"/>
                <w:b/>
                <w:bCs/>
                <w:color w:val="auto"/>
                <w:szCs w:val="21"/>
                <w:highlight w:val="none"/>
                <w:lang w:val="en-US" w:eastAsia="zh-CN"/>
              </w:rPr>
              <w:t>/</w:t>
            </w:r>
          </w:p>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（在营自助设备数量）</w:t>
            </w:r>
          </w:p>
        </w:tc>
        <w:tc>
          <w:tcPr>
            <w:tcW w:w="170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33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700"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335"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700"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33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20"/>
        </w:trPr>
        <w:tc>
          <w:tcPr>
            <w:tcW w:w="7870" w:type="dxa"/>
            <w:gridSpan w:val="5"/>
            <w:vAlign w:val="center"/>
          </w:tcPr>
          <w:p>
            <w:pPr>
              <w:spacing w:line="360" w:lineRule="auto"/>
              <w:ind w:left="0"/>
              <w:jc w:val="left"/>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截止</w:t>
            </w:r>
            <w:r>
              <w:rPr>
                <w:rFonts w:hint="eastAsia"/>
                <w:b/>
                <w:bCs/>
                <w:highlight w:val="none"/>
                <w:lang w:eastAsia="zh-CN"/>
              </w:rPr>
              <w:t>2025年1</w:t>
            </w:r>
            <w:r>
              <w:rPr>
                <w:rFonts w:hint="eastAsia"/>
                <w:b/>
                <w:bCs/>
                <w:highlight w:val="none"/>
                <w:lang w:val="en-US" w:eastAsia="zh-CN"/>
              </w:rPr>
              <w:t>2</w:t>
            </w:r>
            <w:r>
              <w:rPr>
                <w:rFonts w:hint="eastAsia"/>
                <w:b/>
                <w:bCs/>
                <w:highlight w:val="none"/>
                <w:lang w:eastAsia="zh-CN"/>
              </w:rPr>
              <w:t>月</w:t>
            </w:r>
            <w:r>
              <w:rPr>
                <w:rFonts w:hint="eastAsia"/>
                <w:b/>
                <w:bCs/>
                <w:highlight w:val="none"/>
                <w:lang w:val="en-US" w:eastAsia="zh-CN"/>
              </w:rPr>
              <w:t>31</w:t>
            </w:r>
            <w:r>
              <w:rPr>
                <w:rFonts w:hint="eastAsia"/>
                <w:b/>
                <w:bCs/>
                <w:highlight w:val="none"/>
                <w:lang w:eastAsia="zh-CN"/>
              </w:rPr>
              <w:t>日，</w:t>
            </w:r>
            <w:r>
              <w:rPr>
                <w:rFonts w:hint="eastAsia"/>
                <w:b/>
                <w:bCs/>
                <w:highlight w:val="none"/>
                <w:lang w:val="en-US" w:eastAsia="zh-CN"/>
              </w:rPr>
              <w:t xml:space="preserve">            （品牌名称）在</w:t>
            </w:r>
            <w:r>
              <w:rPr>
                <w:rFonts w:hint="eastAsia"/>
                <w:b/>
                <w:bCs/>
                <w:highlight w:val="none"/>
              </w:rPr>
              <w:t>国内省会城市及直辖市、深圳市区、港澳台</w:t>
            </w:r>
            <w:r>
              <w:rPr>
                <w:rFonts w:hint="eastAsia"/>
                <w:b/>
                <w:bCs/>
                <w:highlight w:val="none"/>
                <w:lang w:val="en-US" w:eastAsia="zh-CN"/>
              </w:rPr>
              <w:t>商业综合体布局共开设</w:t>
            </w:r>
            <w:r>
              <w:rPr>
                <w:rFonts w:hint="eastAsia"/>
                <w:b/>
                <w:bCs/>
                <w:highlight w:val="none"/>
              </w:rPr>
              <w:t xml:space="preserve">    家</w:t>
            </w:r>
            <w:r>
              <w:rPr>
                <w:rFonts w:hint="eastAsia"/>
                <w:b/>
                <w:bCs/>
                <w:highlight w:val="none"/>
                <w:lang w:val="en-US" w:eastAsia="zh-CN"/>
              </w:rPr>
              <w:t>在营门店</w:t>
            </w:r>
            <w:r>
              <w:rPr>
                <w:rFonts w:hint="eastAsia"/>
                <w:b/>
                <w:bCs/>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b/>
          <w:bCs/>
          <w:color w:val="auto"/>
          <w:szCs w:val="21"/>
          <w:highlight w:val="none"/>
          <w:lang w:val="en-US" w:eastAsia="zh-CN"/>
        </w:rPr>
        <w:t xml:space="preserve"> </w:t>
      </w: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pStyle w:val="a"/>
        <w:rPr>
          <w:rFonts w:hint="eastAsia"/>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2"/>
        </w:numPr>
        <w:spacing w:line="360" w:lineRule="auto"/>
        <w:outlineLvl w:val="2"/>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其他资料</w:t>
      </w:r>
    </w:p>
    <w:p>
      <w:pPr>
        <w:pStyle w:val="a"/>
        <w:numPr>
          <w:ilvl w:val="0"/>
          <w:numId w:val="3"/>
        </w:numPr>
        <w:rPr>
          <w:rFonts w:ascii="宋体" w:hAnsi="宋体" w:cs="宋体"/>
          <w:b/>
          <w:bCs/>
          <w:color w:val="auto"/>
          <w:szCs w:val="21"/>
          <w:highlight w:val="none"/>
        </w:rPr>
      </w:pPr>
      <w:r>
        <w:rPr>
          <w:rFonts w:ascii="宋体" w:eastAsia="宋体" w:hAnsi="宋体" w:cs="宋体" w:hint="eastAsia"/>
          <w:b/>
          <w:bCs/>
          <w:color w:val="auto"/>
          <w:kern w:val="2"/>
          <w:sz w:val="21"/>
          <w:szCs w:val="21"/>
          <w:highlight w:val="none"/>
          <w:lang w:val="en-US" w:eastAsia="zh-CN" w:bidi="ar-SA"/>
        </w:rPr>
        <w:t>提供《个人本外币兑换特许业务经营许可证》等国家外汇管理局关于运营货币兑换业务的批准文件或证明资质。</w:t>
      </w:r>
    </w:p>
    <w:p>
      <w:pPr>
        <w:pStyle w:val="a"/>
        <w:numPr>
          <w:ilvl w:val="0"/>
          <w:numId w:val="3"/>
        </w:num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0"/>
          <w:numId w:val="0"/>
        </w:numPr>
        <w:rPr>
          <w:rFonts w:ascii="宋体" w:eastAsia="宋体" w:hAnsi="宋体" w:cs="宋体" w:hint="eastAsia"/>
          <w:b/>
          <w:bCs/>
          <w:color w:val="auto"/>
          <w:kern w:val="2"/>
          <w:sz w:val="21"/>
          <w:szCs w:val="21"/>
          <w:highlight w:val="none"/>
          <w:lang w:val="en-US" w:eastAsia="zh-CN" w:bidi="ar-SA"/>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spacing w:line="360" w:lineRule="auto"/>
        <w:outlineLvl w:val="1"/>
        <w:rPr>
          <w:rFonts w:ascii="宋体" w:hAnsi="宋体" w:cs="宋体"/>
          <w:b/>
          <w:bCs/>
          <w:color w:val="auto"/>
          <w:sz w:val="24"/>
          <w:highlight w:val="none"/>
        </w:rPr>
      </w:pPr>
      <w:bookmarkStart w:id="8" w:name="_Toc15677"/>
      <w:bookmarkStart w:id="9" w:name="_Toc26002"/>
      <w:r>
        <w:rPr>
          <w:rFonts w:ascii="宋体" w:hAnsi="宋体" w:cs="宋体" w:hint="eastAsia"/>
          <w:b/>
          <w:bCs/>
          <w:color w:val="auto"/>
          <w:szCs w:val="21"/>
          <w:highlight w:val="none"/>
        </w:rPr>
        <w:t>二、</w:t>
      </w:r>
      <w:bookmarkEnd w:id="8"/>
      <w:r>
        <w:rPr>
          <w:rFonts w:ascii="宋体" w:hAnsi="宋体" w:cs="宋体" w:hint="eastAsia"/>
          <w:b/>
          <w:bCs/>
          <w:color w:val="auto"/>
          <w:sz w:val="24"/>
          <w:highlight w:val="none"/>
        </w:rPr>
        <w:t>商务方案分册</w:t>
      </w:r>
      <w:bookmarkEnd w:id="9"/>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货币兑换</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标段</w:t>
            </w:r>
          </w:p>
        </w:tc>
        <w:tc>
          <w:tcPr>
            <w:tcW w:w="6227" w:type="dxa"/>
          </w:tcPr>
          <w:p>
            <w:pPr>
              <w:spacing w:line="360" w:lineRule="auto"/>
              <w:ind w:firstLine="2400"/>
              <w:jc w:val="both"/>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DEP1-S-2D</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响应人</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经营期限</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月</w:t>
            </w:r>
            <w:r>
              <w:rPr>
                <w:rFonts w:ascii="宋体" w:hAnsi="宋体" w:cs="宋体" w:hint="eastAsia"/>
                <w:color w:val="auto"/>
                <w:kern w:val="0"/>
                <w:sz w:val="24"/>
                <w:szCs w:val="21"/>
                <w:highlight w:val="none"/>
                <w:lang w:val="en-US" w:eastAsia="zh-CN" w:bidi="ar-SA"/>
              </w:rPr>
              <w:t>合同</w:t>
            </w:r>
            <w:r>
              <w:rPr>
                <w:rFonts w:ascii="宋体" w:eastAsia="宋体" w:hAnsi="宋体" w:cs="宋体" w:hint="eastAsia"/>
                <w:color w:val="auto"/>
                <w:kern w:val="0"/>
                <w:sz w:val="24"/>
                <w:szCs w:val="21"/>
                <w:highlight w:val="none"/>
                <w:lang w:val="en-US" w:eastAsia="zh-CN" w:bidi="ar-SA"/>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eastAsia="宋体" w:hAnsi="宋体" w:cs="宋体" w:hint="eastAsia"/>
                <w:color w:val="auto"/>
                <w:kern w:val="0"/>
                <w:sz w:val="24"/>
                <w:szCs w:val="21"/>
                <w:highlight w:val="none"/>
                <w:lang w:val="en-US" w:eastAsia="zh-CN" w:bidi="ar-SA"/>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T1航站楼A指廊</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经营费用单价（元/平方米/月）</w:t>
            </w:r>
          </w:p>
        </w:tc>
        <w:tc>
          <w:tcPr>
            <w:tcW w:w="6227"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 xml:space="preserve">  </w:t>
            </w:r>
            <w:r>
              <w:rPr>
                <w:rFonts w:ascii="宋体" w:hAnsi="宋体" w:cs="宋体" w:hint="eastAsia"/>
                <w:color w:val="auto"/>
                <w:szCs w:val="21"/>
                <w:highlight w:val="none"/>
                <w:u w:val="single"/>
              </w:rPr>
              <w:t xml:space="preserve">            </w:t>
            </w:r>
            <w:r>
              <w:rPr>
                <w:rFonts w:ascii="宋体" w:eastAsia="宋体" w:hAnsi="宋体" w:cs="宋体" w:hint="eastAsia"/>
                <w:color w:val="auto"/>
                <w:kern w:val="0"/>
                <w:sz w:val="24"/>
                <w:szCs w:val="21"/>
                <w:highlight w:val="none"/>
                <w:lang w:val="en-US" w:eastAsia="zh-CN" w:bidi="ar-SA"/>
              </w:rPr>
              <w:t xml:space="preserve"> （元/平方米/月）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Cs w:val="21"/>
                <w:highlight w:val="none"/>
              </w:rPr>
              <w:t>备注</w:t>
            </w:r>
          </w:p>
        </w:tc>
        <w:tc>
          <w:tcPr>
            <w:tcW w:w="6227" w:type="dxa"/>
          </w:tcPr>
          <w:p>
            <w:pPr>
              <w:pStyle w:val="a"/>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val="en-US" w:eastAsia="zh-CN"/>
              </w:rPr>
              <w:t>T1</w:t>
            </w:r>
            <w:bookmarkStart w:id="10" w:name="_GoBack"/>
            <w:bookmarkEnd w:id="10"/>
            <w:r>
              <w:rPr>
                <w:rFonts w:ascii="宋体" w:hAnsi="宋体" w:cs="宋体" w:hint="eastAsia"/>
                <w:color w:val="auto"/>
                <w:szCs w:val="21"/>
                <w:highlight w:val="none"/>
                <w:lang w:eastAsia="zh-CN"/>
              </w:rPr>
              <w:t>航站楼</w:t>
            </w:r>
            <w:r>
              <w:rPr>
                <w:rFonts w:ascii="宋体" w:hAnsi="宋体" w:cs="宋体" w:hint="eastAsia"/>
                <w:color w:val="auto"/>
                <w:szCs w:val="21"/>
                <w:highlight w:val="none"/>
                <w:lang w:val="en-US" w:eastAsia="zh-CN"/>
              </w:rPr>
              <w:t>A指廊</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w:t>
            </w:r>
            <w:r>
              <w:rPr>
                <w:rFonts w:ascii="宋体" w:hAnsi="宋体" w:cs="宋体" w:hint="eastAsia"/>
                <w:color w:val="auto"/>
                <w:szCs w:val="21"/>
                <w:highlight w:val="none"/>
              </w:rPr>
              <w:t>万人次进行调整。</w:t>
            </w:r>
          </w:p>
          <w:p>
            <w:pPr>
              <w:pStyle w:val="a"/>
              <w:spacing w:line="360" w:lineRule="auto"/>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 w:val="24"/>
                <w:szCs w:val="21"/>
                <w:highlight w:val="none"/>
              </w:rPr>
              <w:t>3、经营费用计算均以人民币为单位。</w:t>
            </w:r>
          </w:p>
        </w:tc>
      </w:tr>
    </w:tbl>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货币兑换</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ind w:firstLine="2100"/>
              <w:jc w:val="both"/>
              <w:rPr>
                <w:rFonts w:ascii="宋体" w:hAnsi="宋体" w:cs="宋体"/>
                <w:color w:val="auto"/>
                <w:szCs w:val="21"/>
                <w:highlight w:val="none"/>
              </w:rPr>
            </w:pPr>
            <w:r>
              <w:rPr>
                <w:rFonts w:ascii="宋体" w:eastAsia="宋体" w:hAnsi="宋体" w:cs="宋体" w:hint="eastAsia"/>
                <w:color w:val="auto"/>
                <w:szCs w:val="21"/>
                <w:highlight w:val="none"/>
                <w:lang w:val="en-US" w:eastAsia="zh-CN"/>
              </w:rPr>
              <w:t>DEP-R-38A</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eastAsia="宋体" w:hAnsi="宋体" w:cs="宋体" w:hint="eastAsia"/>
                <w:color w:val="auto"/>
                <w:szCs w:val="21"/>
                <w:highlight w:val="none"/>
                <w:lang w:val="en-US" w:eastAsia="zh-CN"/>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pStyle w:val="a"/>
              <w:numPr>
                <w:ilvl w:val="0"/>
                <w:numId w:val="0"/>
              </w:num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val="en-US" w:eastAsia="zh-CN"/>
              </w:rPr>
              <w:t>T2</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Cs w:val="21"/>
                <w:highlight w:val="none"/>
              </w:rPr>
            </w:pPr>
            <w:r>
              <w:rPr>
                <w:rFonts w:ascii="宋体" w:hAnsi="宋体" w:cs="宋体" w:hint="eastAsia"/>
                <w:color w:val="auto"/>
                <w:sz w:val="24"/>
                <w:szCs w:val="21"/>
                <w:highlight w:val="none"/>
              </w:rPr>
              <w:t>3、经营费用计算均以人民币为单位。</w:t>
            </w:r>
          </w:p>
        </w:tc>
      </w:tr>
    </w:tbl>
    <w:p>
      <w:pPr>
        <w:spacing w:line="360" w:lineRule="auto"/>
        <w:jc w:val="center"/>
        <w:rPr>
          <w:rFonts w:ascii="宋体" w:hAnsi="宋体" w:cs="宋体"/>
          <w:color w:val="auto"/>
          <w:szCs w:val="21"/>
          <w:highlight w:val="none"/>
        </w:rPr>
      </w:pPr>
    </w:p>
    <w:p>
      <w:pPr>
        <w:pStyle w:val="a"/>
        <w:rPr>
          <w:rFonts w:ascii="宋体" w:hAnsi="宋体" w:cs="宋体"/>
          <w:color w:val="auto"/>
          <w:szCs w:val="21"/>
          <w:highlight w:val="none"/>
        </w:rPr>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CFBDC3D2"/>
    <w:multiLevelType w:val="singleLevel"/>
    <w:tmpl w:val="CFBDC3D2"/>
    <w:lvl w:ilvl="0">
      <w:start w:val="1"/>
      <w:numFmt w:val="decimal"/>
      <w:lvlText w:val="%1."/>
      <w:lvlJc w:val="left"/>
      <w:pPr>
        <w:tabs>
          <w:tab w:val="left" w:pos="312"/>
        </w:tabs>
      </w:pPr>
    </w:lvl>
  </w:abstractNum>
  <w:abstractNum w:abstractNumId="2">
    <w:nsid w:val="ED0997C3"/>
    <w:multiLevelType w:val="singleLevel"/>
    <w:tmpl w:val="ED0997C3"/>
    <w:lvl w:ilvl="0">
      <w:start w:val="6"/>
      <w:numFmt w:val="decimal"/>
      <w:lvlText w:val="%1."/>
      <w:lvlJc w:val="left"/>
      <w:pPr>
        <w:tabs>
          <w:tab w:val="left" w:pos="312"/>
        </w:tabs>
      </w:pPr>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26</Pages>
  <Words>4741</Words>
  <Characters>5057</Characters>
  <Application>Microsoft Office Word</Application>
  <DocSecurity>0</DocSecurity>
  <Lines>0</Lines>
  <Paragraphs>0</Paragraphs>
  <ScaleCrop>false</ScaleCrop>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2026-01-16T04:29:00Z</cp:lastPrinted>
  <dcterms:created xsi:type="dcterms:W3CDTF">2024-10-08T15:32:00Z</dcterms:created>
  <dcterms:modified xsi:type="dcterms:W3CDTF">2026-01-16T04:46:47Z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3E19CAF0AED1410E8F6DFD3DED5D6DD9_12</vt:lpwstr>
  </property>
  <property fmtid="{D5CDD505-2E9C-101B-9397-08002B2CF9AE}" pid="3" name="KSOProductBuildVer">
    <vt:lpwstr>2052-11.8.6.9023</vt:lpwstr>
  </property>
  <property fmtid="{D5CDD505-2E9C-101B-9397-08002B2CF9AE}" pid="4" name="KSOTemplateDocerSaveRecord">
    <vt:lpwstr>eyJoZGlkIjoiMGY5MmFlNGUxN2MwOWI2NGI1OTFjMmEwZjgxNzhhYzUiLCJ1c2VySWQiOiIxNjU3NjM4NTU2In0=</vt:lpwstr>
  </property>
</Properties>
</file>