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pStyle w:val="NormalWeb"/>
        <w:shd w:val="clear" w:color="auto" w:fill="FFFFFF"/>
        <w:spacing w:before="0" w:beforeAutospacing="0" w:after="0" w:afterAutospacing="0" w:line="360" w:lineRule="auto"/>
        <w:rPr>
          <w:rFonts w:cs="Times New Roman"/>
          <w:b/>
          <w:bCs/>
          <w:kern w:val="2"/>
          <w:highlight w:val="none"/>
        </w:rPr>
      </w:pPr>
      <w:r>
        <w:rPr>
          <w:rFonts w:cs="Times New Roman" w:hint="eastAsia"/>
          <w:b/>
          <w:bCs/>
          <w:kern w:val="2"/>
          <w:highlight w:val="none"/>
        </w:rPr>
        <w:t>附件1：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 xml:space="preserve">              商家报名资料</w:t>
      </w:r>
      <w:r>
        <w:rPr>
          <w:b/>
          <w:sz w:val="32"/>
          <w:szCs w:val="32"/>
          <w:highlight w:val="none"/>
        </w:rPr>
        <w:t>清单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/>
          <w:b/>
          <w:sz w:val="24"/>
          <w:szCs w:val="24"/>
          <w:highlight w:val="none"/>
        </w:rPr>
        <w:t>基本材料</w:t>
      </w:r>
      <w:r>
        <w:rPr>
          <w:rFonts w:ascii="宋体" w:hAnsi="宋体" w:hint="eastAsia"/>
          <w:b/>
          <w:sz w:val="24"/>
          <w:szCs w:val="24"/>
          <w:highlight w:val="none"/>
          <w:lang w:eastAsia="zh-CN"/>
        </w:rPr>
        <w:t>：</w:t>
      </w:r>
    </w:p>
    <w:p>
      <w:pPr>
        <w:pStyle w:val="2"/>
        <w:numPr>
          <w:ilvl w:val="0"/>
          <w:numId w:val="0"/>
        </w:numPr>
        <w:spacing w:line="276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1.</w:t>
      </w:r>
      <w:r>
        <w:rPr>
          <w:rFonts w:ascii="宋体" w:hAnsi="宋体" w:hint="eastAsia"/>
          <w:sz w:val="24"/>
          <w:szCs w:val="24"/>
          <w:highlight w:val="none"/>
        </w:rPr>
        <w:t>租赁申请、</w:t>
      </w: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经营</w:t>
      </w:r>
      <w:r>
        <w:rPr>
          <w:rFonts w:ascii="宋体" w:hAnsi="宋体"/>
          <w:sz w:val="24"/>
          <w:szCs w:val="24"/>
          <w:highlight w:val="none"/>
        </w:rPr>
        <w:t>保证书</w:t>
      </w:r>
      <w:r>
        <w:rPr>
          <w:rFonts w:ascii="宋体" w:hAnsi="宋体" w:hint="eastAsia"/>
          <w:sz w:val="24"/>
          <w:szCs w:val="24"/>
          <w:highlight w:val="none"/>
        </w:rPr>
        <w:t>（参见</w:t>
      </w:r>
      <w:r>
        <w:rPr>
          <w:rFonts w:ascii="宋体" w:hAnsi="宋体"/>
          <w:sz w:val="24"/>
          <w:szCs w:val="24"/>
          <w:highlight w:val="none"/>
        </w:rPr>
        <w:t>附件</w:t>
      </w:r>
      <w:r>
        <w:rPr>
          <w:rFonts w:ascii="宋体" w:hAnsi="宋体" w:hint="eastAsia"/>
          <w:sz w:val="24"/>
          <w:szCs w:val="24"/>
          <w:highlight w:val="none"/>
        </w:rPr>
        <w:t>3）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ListParagraph"/>
        <w:numPr>
          <w:ilvl w:val="0"/>
          <w:numId w:val="0"/>
        </w:numPr>
        <w:spacing w:line="276" w:lineRule="auto"/>
        <w:rPr>
          <w:rFonts w:ascii="宋体" w:hAnsi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2.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企业营业执照、税务登记证、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开户许可证、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组织机构代码证副本（或有统一企业社会信用代码的三证合一经营执照副本）复印件加盖公章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（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注册资本需满足100万以上要求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）；</w:t>
      </w:r>
    </w:p>
    <w:p>
      <w:pPr>
        <w:pStyle w:val="ListParagraph"/>
        <w:numPr>
          <w:ilvl w:val="0"/>
          <w:numId w:val="0"/>
        </w:numPr>
        <w:spacing w:line="276" w:lineRule="auto"/>
        <w:rPr>
          <w:rFonts w:ascii="宋体" w:hAnsi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3.在电子税务局中查询到的一般纳税人资格证明或截图，并加盖公章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；</w:t>
      </w:r>
    </w:p>
    <w:p>
      <w:pPr>
        <w:pStyle w:val="2"/>
        <w:numPr>
          <w:ilvl w:val="0"/>
          <w:numId w:val="0"/>
        </w:numPr>
        <w:spacing w:line="276" w:lineRule="auto"/>
        <w:rPr>
          <w:rFonts w:ascii="宋体" w:hAnsi="宋体" w:hint="eastAsia"/>
          <w:sz w:val="24"/>
          <w:szCs w:val="24"/>
          <w:highlight w:val="none"/>
          <w:lang w:eastAsia="zh-CN"/>
        </w:rPr>
      </w:pP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4.</w:t>
      </w:r>
      <w:r>
        <w:rPr>
          <w:rFonts w:ascii="宋体" w:hAnsi="宋体" w:hint="eastAsia"/>
          <w:sz w:val="24"/>
          <w:szCs w:val="24"/>
          <w:highlight w:val="none"/>
        </w:rPr>
        <w:t>法定代表人授权委托书、法定代表人身份证复印件、被授权人身份证复印件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2"/>
        <w:numPr>
          <w:ilvl w:val="0"/>
          <w:numId w:val="0"/>
        </w:numPr>
        <w:spacing w:line="276" w:lineRule="auto"/>
        <w:rPr>
          <w:rFonts w:ascii="宋体" w:hAnsi="宋体" w:hint="default"/>
          <w:sz w:val="24"/>
          <w:szCs w:val="24"/>
          <w:highlight w:val="none"/>
          <w:lang w:val="en-US" w:eastAsia="zh-CN"/>
        </w:rPr>
      </w:pP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5.涉及行业经营相关的许可证、资质证书等复印件（复印件加盖公章）；</w:t>
      </w:r>
    </w:p>
    <w:p>
      <w:pPr>
        <w:pStyle w:val="2"/>
        <w:numPr>
          <w:ilvl w:val="0"/>
          <w:numId w:val="0"/>
        </w:numPr>
        <w:spacing w:line="276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5.</w:t>
      </w:r>
      <w:r>
        <w:rPr>
          <w:rFonts w:ascii="宋体" w:hAnsi="宋体" w:hint="eastAsia"/>
          <w:sz w:val="24"/>
          <w:szCs w:val="24"/>
          <w:highlight w:val="none"/>
        </w:rPr>
        <w:t>品牌</w:t>
      </w:r>
      <w:r>
        <w:rPr>
          <w:rFonts w:ascii="宋体" w:hAnsi="宋体"/>
          <w:sz w:val="24"/>
          <w:szCs w:val="24"/>
          <w:highlight w:val="none"/>
        </w:rPr>
        <w:t>商标注册证</w:t>
      </w:r>
      <w:r>
        <w:rPr>
          <w:rFonts w:ascii="宋体" w:hAnsi="宋体" w:hint="eastAsia"/>
          <w:sz w:val="24"/>
          <w:szCs w:val="24"/>
          <w:highlight w:val="none"/>
        </w:rPr>
        <w:t>、</w:t>
      </w:r>
      <w:r>
        <w:rPr>
          <w:rFonts w:ascii="宋体" w:hAnsi="宋体"/>
          <w:sz w:val="24"/>
          <w:szCs w:val="24"/>
          <w:highlight w:val="none"/>
        </w:rPr>
        <w:t>代理</w:t>
      </w:r>
      <w:r>
        <w:rPr>
          <w:rFonts w:ascii="宋体" w:hAnsi="宋体" w:hint="eastAsia"/>
          <w:sz w:val="24"/>
          <w:szCs w:val="24"/>
          <w:highlight w:val="none"/>
        </w:rPr>
        <w:t>或</w:t>
      </w:r>
      <w:r>
        <w:rPr>
          <w:rFonts w:ascii="宋体" w:hAnsi="宋体"/>
          <w:sz w:val="24"/>
          <w:szCs w:val="24"/>
          <w:highlight w:val="none"/>
        </w:rPr>
        <w:t>加盟品牌的授权书或预授权</w:t>
      </w:r>
      <w:r>
        <w:rPr>
          <w:rFonts w:ascii="宋体" w:hAnsi="宋体" w:hint="eastAsia"/>
          <w:sz w:val="24"/>
          <w:szCs w:val="24"/>
          <w:highlight w:val="none"/>
        </w:rPr>
        <w:t>、品牌介绍资料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10"/>
        <w:numPr>
          <w:ilvl w:val="0"/>
          <w:numId w:val="0"/>
        </w:numPr>
        <w:spacing w:line="276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lang w:val="en-US" w:eastAsia="zh-CN"/>
        </w:rPr>
        <w:t>6.商家开店数量证明材料。</w:t>
      </w:r>
    </w:p>
    <w:p>
      <w:pPr>
        <w:pStyle w:val="2"/>
        <w:numPr>
          <w:ilvl w:val="0"/>
          <w:numId w:val="1"/>
        </w:numPr>
        <w:spacing w:line="276" w:lineRule="auto"/>
        <w:ind w:left="0" w:firstLine="0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 w:hint="eastAsia"/>
          <w:b/>
          <w:sz w:val="24"/>
          <w:szCs w:val="24"/>
          <w:highlight w:val="none"/>
        </w:rPr>
        <w:t>财务</w:t>
      </w:r>
      <w:r>
        <w:rPr>
          <w:rFonts w:ascii="宋体" w:hAnsi="宋体" w:hint="eastAsia"/>
          <w:b/>
          <w:sz w:val="24"/>
          <w:szCs w:val="24"/>
          <w:highlight w:val="none"/>
          <w:lang w:val="en-US" w:eastAsia="zh-CN"/>
        </w:rPr>
        <w:t>资料（务必清晰准确）</w:t>
      </w:r>
      <w:r>
        <w:rPr>
          <w:rFonts w:ascii="宋体" w:hAnsi="宋体" w:hint="eastAsia"/>
          <w:b/>
          <w:sz w:val="24"/>
          <w:szCs w:val="24"/>
          <w:highlight w:val="none"/>
        </w:rPr>
        <w:t>：</w:t>
      </w:r>
    </w:p>
    <w:p>
      <w:pPr>
        <w:pStyle w:val="2"/>
        <w:numPr>
          <w:ilvl w:val="0"/>
          <w:numId w:val="2"/>
        </w:numPr>
        <w:spacing w:line="276" w:lineRule="auto"/>
        <w:ind w:left="907" w:hanging="277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银行资信证明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2"/>
        <w:numPr>
          <w:ilvl w:val="0"/>
          <w:numId w:val="2"/>
        </w:numPr>
        <w:spacing w:line="276" w:lineRule="auto"/>
        <w:ind w:left="907" w:hanging="277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近三年财务报表；</w:t>
      </w:r>
    </w:p>
    <w:p>
      <w:pPr>
        <w:pStyle w:val="2"/>
        <w:numPr>
          <w:ilvl w:val="0"/>
          <w:numId w:val="2"/>
        </w:numPr>
        <w:spacing w:line="276" w:lineRule="auto"/>
        <w:ind w:left="907" w:hanging="277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近半年银行存款余额</w:t>
      </w: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流水</w:t>
      </w:r>
      <w:r>
        <w:rPr>
          <w:rFonts w:ascii="宋体" w:hAnsi="宋体" w:hint="eastAsia"/>
          <w:sz w:val="24"/>
          <w:szCs w:val="24"/>
          <w:highlight w:val="none"/>
        </w:rPr>
        <w:t>证明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。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 w:hint="eastAsia"/>
          <w:b/>
          <w:sz w:val="24"/>
          <w:szCs w:val="24"/>
          <w:highlight w:val="none"/>
        </w:rPr>
        <w:t>经营方案：</w:t>
      </w:r>
    </w:p>
    <w:p>
      <w:pPr>
        <w:pStyle w:val="2"/>
        <w:numPr>
          <w:ilvl w:val="0"/>
          <w:numId w:val="3"/>
        </w:numPr>
        <w:spacing w:line="276" w:lineRule="auto"/>
        <w:ind w:left="904" w:hanging="274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提供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本项目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经营方案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。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方案包含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但不限于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：</w:t>
      </w:r>
      <w:r>
        <w:rPr>
          <w:rFonts w:ascii="Segoe UI" w:eastAsia="Segoe UI" w:hAnsi="Segoe UI" w:cs="Segoe UI"/>
          <w:i w:val="0"/>
          <w:iCs w:val="0"/>
          <w:caps w:val="0"/>
          <w:spacing w:val="0"/>
          <w:sz w:val="24"/>
          <w:szCs w:val="24"/>
          <w:shd w:val="clear" w:color="auto" w:fill="FFFFFF"/>
        </w:rPr>
        <w:t>单车位日洗车量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预测及分析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eastAsia="zh-CN"/>
        </w:rPr>
        <w:t>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经营理念、</w:t>
      </w:r>
      <w:r>
        <w:rPr>
          <w:rFonts w:ascii="Segoe UI" w:eastAsia="Segoe UI" w:hAnsi="Segoe UI" w:cs="Segoe UI"/>
          <w:i w:val="0"/>
          <w:iCs w:val="0"/>
          <w:caps w:val="0"/>
          <w:spacing w:val="0"/>
          <w:sz w:val="24"/>
          <w:szCs w:val="24"/>
          <w:shd w:val="clear" w:color="auto" w:fill="FFFFFF"/>
        </w:rPr>
        <w:t>收费价目表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（须提供同城同质价格下浮比例方案）、员工优惠方案、营业时间、休假安排等内容；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il"/>
          <w:left w:val="nil"/>
          <w:bottom w:val="nil"/>
          <w:right w:val="nil"/>
        </w:pBdr>
        <w:spacing w:before="0" w:beforeAutospacing="0" w:after="0" w:afterAutospacing="0"/>
        <w:ind w:left="904" w:right="0" w:hanging="274"/>
        <w:jc w:val="left"/>
        <w:textAlignment w:val="baseline"/>
        <w:rPr>
          <w:rFonts w:ascii="Segoe UI" w:eastAsia="Segoe UI" w:hAnsi="Segoe UI" w:cs="Segoe UI" w:hint="default"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/>
        </w:rPr>
      </w:pP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val="en-US" w:eastAsia="zh-CN"/>
        </w:rPr>
        <w:t>装修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投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val="en-US" w:eastAsia="zh-CN"/>
        </w:rPr>
        <w:t>入及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效果图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eastAsia="zh-CN"/>
        </w:rPr>
        <w:t>。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val="en-US" w:eastAsia="zh-CN"/>
        </w:rPr>
        <w:t>包括但不限于X</w:t>
      </w:r>
      <w:r>
        <w:rPr>
          <w:rFonts w:ascii="Segoe UI" w:eastAsia="Segoe UI" w:hAnsi="Segoe UI" w:cs="Segoe UI" w:hint="default"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/>
        </w:rPr>
        <w:t>个车位平面布置图（CAD）</w:t>
      </w:r>
      <w:r>
        <w:rPr>
          <w:rFonts w:ascii="Segoe UI" w:eastAsia="Segoe UI" w:hAnsi="Segoe UI" w:cs="Segoe UI" w:hint="eastAsia"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/>
        </w:rPr>
        <w:t>、</w:t>
      </w:r>
      <w:r>
        <w:rPr>
          <w:rFonts w:ascii="Segoe UI" w:eastAsia="Segoe UI" w:hAnsi="Segoe UI" w:cs="Segoe UI" w:hint="default"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/>
        </w:rPr>
        <w:t>隔沉淀池、给排水、电路、监控点位图</w:t>
      </w:r>
      <w:r>
        <w:rPr>
          <w:rFonts w:ascii="Segoe UI" w:eastAsia="Segoe UI" w:hAnsi="Segoe UI" w:cs="Segoe UI" w:hint="eastAsia"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/>
        </w:rPr>
        <w:t>（如有）、</w:t>
      </w:r>
      <w:r>
        <w:rPr>
          <w:rFonts w:ascii="Segoe UI" w:eastAsia="Segoe UI" w:hAnsi="Segoe UI" w:cs="Segoe UI" w:hint="default"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/>
        </w:rPr>
        <w:t>装修/设备投入清单与总价（含税）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il"/>
          <w:left w:val="nil"/>
          <w:bottom w:val="nil"/>
          <w:right w:val="nil"/>
        </w:pBdr>
        <w:spacing w:before="0" w:beforeAutospacing="0" w:after="0" w:afterAutospacing="0"/>
        <w:ind w:left="904" w:right="0" w:hanging="274"/>
        <w:jc w:val="left"/>
        <w:textAlignment w:val="baseline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近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年获奖证明。</w:t>
      </w:r>
    </w:p>
    <w:p>
      <w:pPr>
        <w:pStyle w:val="ListParagraph"/>
        <w:numPr>
          <w:ilvl w:val="0"/>
          <w:numId w:val="0"/>
        </w:numPr>
        <w:spacing w:line="276" w:lineRule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ascii="宋体" w:hAnsi="宋体" w:hint="eastAsia"/>
          <w:b/>
          <w:bCs/>
          <w:sz w:val="24"/>
          <w:szCs w:val="24"/>
          <w:highlight w:val="none"/>
          <w:lang w:val="en-US" w:eastAsia="zh-CN"/>
        </w:rPr>
        <w:t xml:space="preserve">四、  </w:t>
      </w:r>
      <w:r>
        <w:rPr>
          <w:rFonts w:ascii="宋体" w:hAnsi="宋体" w:hint="eastAsia"/>
          <w:b/>
          <w:bCs/>
          <w:sz w:val="24"/>
          <w:szCs w:val="24"/>
          <w:highlight w:val="none"/>
        </w:rPr>
        <w:t>公司管理制度：</w:t>
      </w:r>
    </w:p>
    <w:p>
      <w:pPr>
        <w:spacing w:line="276" w:lineRule="auto"/>
        <w:ind w:firstLine="723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b/>
          <w:bCs/>
          <w:color w:val="auto"/>
          <w:sz w:val="24"/>
          <w:szCs w:val="24"/>
          <w:highlight w:val="none"/>
          <w:shd w:val="clear" w:color="auto" w:fill="auto"/>
        </w:rPr>
        <w:t>商家请提供</w:t>
      </w:r>
      <w:r>
        <w:rPr>
          <w:rFonts w:ascii="宋体" w:hAnsi="宋体" w:cs="仿宋" w:hint="eastAsia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包含且不限于以下的材料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：</w:t>
      </w:r>
    </w:p>
    <w:p>
      <w:pPr>
        <w:pStyle w:val="1"/>
        <w:numPr>
          <w:ilvl w:val="0"/>
          <w:numId w:val="4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卫生保洁制度</w:t>
      </w:r>
      <w:r>
        <w:rPr>
          <w:rFonts w:ascii="Segoe UI" w:eastAsia="Segoe UI" w:hAnsi="Segoe UI" w:cs="Segoe UI"/>
          <w:i w:val="0"/>
          <w:iCs w:val="0"/>
          <w:caps w:val="0"/>
          <w:spacing w:val="0"/>
          <w:sz w:val="24"/>
          <w:szCs w:val="24"/>
          <w:shd w:val="clear" w:color="auto" w:fill="FFFFFF"/>
        </w:rPr>
        <w:t>（场地、设备、排水沟日常保洁频次）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4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从业人员培训和健康检查制度</w:t>
      </w:r>
      <w:r>
        <w:rPr>
          <w:rFonts w:ascii="Segoe UI" w:eastAsia="Segoe UI" w:hAnsi="Segoe UI" w:cs="Segoe UI"/>
          <w:i w:val="0"/>
          <w:iCs w:val="0"/>
          <w:caps w:val="0"/>
          <w:spacing w:val="0"/>
          <w:sz w:val="24"/>
          <w:szCs w:val="24"/>
          <w:shd w:val="clear" w:color="auto" w:fill="FFFFFF"/>
        </w:rPr>
        <w:t>（操作证、健康证）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4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消防、用电、用气安全检查制度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4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库房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耗材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管理制度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4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Segoe UI" w:eastAsia="Segoe UI" w:hAnsi="Segoe UI" w:cs="Segoe UI"/>
          <w:i w:val="0"/>
          <w:iCs w:val="0"/>
          <w:caps w:val="0"/>
          <w:spacing w:val="0"/>
          <w:sz w:val="24"/>
          <w:szCs w:val="24"/>
          <w:shd w:val="clear" w:color="auto" w:fill="FFFFFF"/>
        </w:rPr>
        <w:t>化学品采购与验收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管理制度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4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Segoe UI" w:eastAsia="Segoe UI" w:hAnsi="Segoe UI" w:cs="Segoe UI"/>
          <w:i w:val="0"/>
          <w:iCs w:val="0"/>
          <w:caps w:val="0"/>
          <w:spacing w:val="0"/>
          <w:sz w:val="24"/>
          <w:szCs w:val="24"/>
          <w:shd w:val="clear" w:color="auto" w:fill="FFFFFF"/>
        </w:rPr>
        <w:t>环保及安全预防事故处理制度</w:t>
      </w:r>
      <w:r>
        <w:rPr>
          <w:rFonts w:ascii="Segoe UI" w:eastAsia="宋体" w:hAnsi="Segoe UI" w:cs="Segoe UI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ascii="Segoe UI" w:eastAsia="宋体" w:hAnsi="Segoe UI" w:cs="Segoe UI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泄露、断电、暴雨应急处置预案</w:t>
      </w:r>
      <w:r>
        <w:rPr>
          <w:rFonts w:ascii="Segoe UI" w:eastAsia="宋体" w:hAnsi="Segoe UI" w:cs="Segoe UI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eastAsia="zh-CN"/>
        </w:rPr>
        <w:t>）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4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  <w:lang w:val="en-US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服务操作管理制度</w:t>
      </w:r>
      <w:r>
        <w:rPr>
          <w:rFonts w:ascii="Segoe UI" w:eastAsia="Segoe UI" w:hAnsi="Segoe UI" w:cs="Segoe UI"/>
          <w:i w:val="0"/>
          <w:iCs w:val="0"/>
          <w:caps w:val="0"/>
          <w:spacing w:val="0"/>
          <w:sz w:val="24"/>
          <w:szCs w:val="24"/>
          <w:shd w:val="clear" w:color="auto" w:fill="FFFFFF"/>
        </w:rPr>
        <w:t>（客户投诉处理流程、设备故障响应承诺）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。</w:t>
      </w:r>
    </w:p>
    <w:p>
      <w:pPr>
        <w:pStyle w:val="ListParagraph"/>
        <w:numPr>
          <w:ilvl w:val="0"/>
          <w:numId w:val="0"/>
        </w:numPr>
        <w:spacing w:line="276" w:lineRule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ascii="宋体" w:hAnsi="宋体" w:hint="eastAsia"/>
          <w:b/>
          <w:bCs/>
          <w:sz w:val="24"/>
          <w:szCs w:val="24"/>
          <w:highlight w:val="none"/>
          <w:lang w:val="en-US" w:eastAsia="zh-CN"/>
        </w:rPr>
        <w:t>五、  其他</w:t>
      </w:r>
      <w:r>
        <w:rPr>
          <w:rFonts w:ascii="宋体" w:hAnsi="宋体" w:hint="eastAsia"/>
          <w:b/>
          <w:bCs/>
          <w:sz w:val="24"/>
          <w:szCs w:val="24"/>
          <w:highlight w:val="none"/>
        </w:rPr>
        <w:t>：</w:t>
      </w:r>
    </w:p>
    <w:p>
      <w:pPr>
        <w:pStyle w:val="1"/>
        <w:numPr>
          <w:ilvl w:val="0"/>
          <w:numId w:val="0"/>
        </w:numPr>
        <w:spacing w:line="240" w:lineRule="auto"/>
        <w:ind w:firstLine="480"/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</w:rPr>
        <w:t>现场踏勘确认表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招商人现场签字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eastAsia="zh-CN"/>
        </w:rPr>
        <w:t>）</w:t>
      </w:r>
    </w:p>
    <w:p>
      <w:pPr>
        <w:pStyle w:val="1"/>
        <w:numPr>
          <w:ilvl w:val="0"/>
          <w:numId w:val="0"/>
        </w:numPr>
        <w:spacing w:line="240" w:lineRule="auto"/>
        <w:ind w:firstLine="480"/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</w:rPr>
        <w:t>信用中国查询截图（首页盖章，查询日距投标日≤7 天）</w:t>
      </w:r>
    </w:p>
    <w:p>
      <w:pPr>
        <w:pStyle w:val="1"/>
        <w:widowControl w:val="0"/>
        <w:numPr>
          <w:ilvl w:val="0"/>
          <w:numId w:val="0"/>
        </w:numPr>
        <w:spacing w:line="276" w:lineRule="auto"/>
        <w:jc w:val="both"/>
        <w:rPr>
          <w:highlight w:val="none"/>
        </w:rPr>
      </w:pPr>
      <w:r>
        <w:rPr>
          <w:rStyle w:val="Strong"/>
          <w:rFonts w:ascii="Segoe UI" w:eastAsia="Segoe UI" w:hAnsi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  <w:vertAlign w:val="baseline"/>
        </w:rPr>
        <w:t>注：</w:t>
      </w:r>
      <w:r>
        <w:rPr>
          <w:rFonts w:ascii="Segoe UI" w:eastAsia="Segoe UI" w:hAnsi="Segoe UI" w:cs="Segoe UI" w:hint="default"/>
          <w:i w:val="0"/>
          <w:iCs w:val="0"/>
          <w:caps w:val="0"/>
          <w:spacing w:val="0"/>
          <w:sz w:val="24"/>
          <w:szCs w:val="24"/>
          <w:shd w:val="clear" w:color="auto" w:fill="FFFFFF"/>
        </w:rPr>
        <w:t xml:space="preserve"> 以上资料按顺序胶装成册，一正两副，；复印件须加盖骑缝章，缺项或未按规定密封视为无效报名。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7E1"/>
    <w:multiLevelType w:val="multilevel"/>
    <w:tmpl w:val="096347E1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113B94"/>
    <w:multiLevelType w:val="multilevel"/>
    <w:tmpl w:val="6B113B94"/>
    <w:lvl w:ilvl="0">
      <w:start w:val="1"/>
      <w:numFmt w:val="decimal"/>
      <w:lvlText w:val="%1."/>
      <w:lvlJc w:val="left"/>
      <w:pPr>
        <w:ind w:left="907" w:hanging="420"/>
      </w:pPr>
    </w:lvl>
    <w:lvl w:ilvl="1">
      <w:start w:val="1"/>
      <w:numFmt w:val="lowerLetter"/>
      <w:lvlText w:val="%2)"/>
      <w:lvlJc w:val="left"/>
      <w:pPr>
        <w:ind w:left="1327" w:hanging="420"/>
      </w:pPr>
    </w:lvl>
    <w:lvl w:ilvl="2">
      <w:start w:val="1"/>
      <w:numFmt w:val="lowerRoman"/>
      <w:lvlText w:val="%3."/>
      <w:lvlJc w:val="right"/>
      <w:pPr>
        <w:ind w:left="1747" w:hanging="420"/>
      </w:pPr>
    </w:lvl>
    <w:lvl w:ilvl="3">
      <w:start w:val="1"/>
      <w:numFmt w:val="decimal"/>
      <w:lvlText w:val="%4."/>
      <w:lvlJc w:val="left"/>
      <w:pPr>
        <w:ind w:left="2167" w:hanging="420"/>
      </w:pPr>
    </w:lvl>
    <w:lvl w:ilvl="4">
      <w:start w:val="1"/>
      <w:numFmt w:val="lowerLetter"/>
      <w:lvlText w:val="%5)"/>
      <w:lvlJc w:val="left"/>
      <w:pPr>
        <w:ind w:left="2587" w:hanging="420"/>
      </w:pPr>
    </w:lvl>
    <w:lvl w:ilvl="5">
      <w:start w:val="1"/>
      <w:numFmt w:val="lowerRoman"/>
      <w:lvlText w:val="%6."/>
      <w:lvlJc w:val="right"/>
      <w:pPr>
        <w:ind w:left="3007" w:hanging="420"/>
      </w:pPr>
    </w:lvl>
    <w:lvl w:ilvl="6">
      <w:start w:val="1"/>
      <w:numFmt w:val="decimal"/>
      <w:lvlText w:val="%7."/>
      <w:lvlJc w:val="left"/>
      <w:pPr>
        <w:ind w:left="3427" w:hanging="420"/>
      </w:pPr>
    </w:lvl>
    <w:lvl w:ilvl="7">
      <w:start w:val="1"/>
      <w:numFmt w:val="lowerLetter"/>
      <w:lvlText w:val="%8)"/>
      <w:lvlJc w:val="left"/>
      <w:pPr>
        <w:ind w:left="3847" w:hanging="420"/>
      </w:pPr>
    </w:lvl>
    <w:lvl w:ilvl="8">
      <w:start w:val="1"/>
      <w:numFmt w:val="lowerRoman"/>
      <w:lvlText w:val="%9."/>
      <w:lvlJc w:val="right"/>
      <w:pPr>
        <w:ind w:left="4267" w:hanging="420"/>
      </w:pPr>
    </w:lvl>
  </w:abstractNum>
  <w:abstractNum w:abstractNumId="2">
    <w:nsid w:val="73FB4509"/>
    <w:multiLevelType w:val="multilevel"/>
    <w:tmpl w:val="73FB4509"/>
    <w:lvl w:ilvl="0">
      <w:start w:val="1"/>
      <w:numFmt w:val="decimal"/>
      <w:lvlText w:val="%1."/>
      <w:lvlJc w:val="left"/>
      <w:pPr>
        <w:ind w:left="904" w:hanging="420"/>
      </w:pPr>
    </w:lvl>
    <w:lvl w:ilvl="1">
      <w:start w:val="1"/>
      <w:numFmt w:val="lowerLetter"/>
      <w:lvlText w:val="%2)"/>
      <w:lvlJc w:val="left"/>
      <w:pPr>
        <w:ind w:left="1324" w:hanging="420"/>
      </w:pPr>
    </w:lvl>
    <w:lvl w:ilvl="2">
      <w:start w:val="1"/>
      <w:numFmt w:val="lowerRoman"/>
      <w:lvlText w:val="%3."/>
      <w:lvlJc w:val="right"/>
      <w:pPr>
        <w:ind w:left="1744" w:hanging="420"/>
      </w:pPr>
    </w:lvl>
    <w:lvl w:ilvl="3">
      <w:start w:val="1"/>
      <w:numFmt w:val="decimal"/>
      <w:lvlText w:val="%4."/>
      <w:lvlJc w:val="left"/>
      <w:pPr>
        <w:ind w:left="2164" w:hanging="420"/>
      </w:pPr>
    </w:lvl>
    <w:lvl w:ilvl="4">
      <w:start w:val="1"/>
      <w:numFmt w:val="lowerLetter"/>
      <w:lvlText w:val="%5)"/>
      <w:lvlJc w:val="left"/>
      <w:pPr>
        <w:ind w:left="2584" w:hanging="420"/>
      </w:pPr>
    </w:lvl>
    <w:lvl w:ilvl="5">
      <w:start w:val="1"/>
      <w:numFmt w:val="lowerRoman"/>
      <w:lvlText w:val="%6."/>
      <w:lvlJc w:val="right"/>
      <w:pPr>
        <w:ind w:left="3004" w:hanging="420"/>
      </w:pPr>
    </w:lvl>
    <w:lvl w:ilvl="6">
      <w:start w:val="1"/>
      <w:numFmt w:val="decimal"/>
      <w:lvlText w:val="%7."/>
      <w:lvlJc w:val="left"/>
      <w:pPr>
        <w:ind w:left="3424" w:hanging="420"/>
      </w:pPr>
    </w:lvl>
    <w:lvl w:ilvl="7">
      <w:start w:val="1"/>
      <w:numFmt w:val="lowerLetter"/>
      <w:lvlText w:val="%8)"/>
      <w:lvlJc w:val="left"/>
      <w:pPr>
        <w:ind w:left="3844" w:hanging="420"/>
      </w:pPr>
    </w:lvl>
    <w:lvl w:ilvl="8">
      <w:start w:val="1"/>
      <w:numFmt w:val="lowerRoman"/>
      <w:lvlText w:val="%9."/>
      <w:lvlJc w:val="right"/>
      <w:pPr>
        <w:ind w:left="4264" w:hanging="420"/>
      </w:pPr>
    </w:lvl>
  </w:abstractNum>
  <w:abstractNum w:abstractNumId="3">
    <w:nsid w:val="7E111E4D"/>
    <w:multiLevelType w:val="multilevel"/>
    <w:tmpl w:val="7E111E4D"/>
    <w:lvl w:ilvl="0">
      <w:start w:val="1"/>
      <w:numFmt w:val="decimal"/>
      <w:lvlText w:val="（%1）"/>
      <w:lvlJc w:val="left"/>
      <w:pPr>
        <w:ind w:left="1161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nhideWhenUsed="0" w:qFormat="1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paragraph" w:customStyle="1" w:styleId="1">
    <w:name w:val="列出段落1"/>
    <w:basedOn w:val="Normal"/>
    <w:uiPriority w:val="34"/>
    <w:qFormat/>
    <w:pPr>
      <w:ind w:firstLine="420"/>
    </w:pPr>
  </w:style>
  <w:style w:type="paragraph" w:customStyle="1" w:styleId="2">
    <w:name w:val="列出段落2"/>
    <w:basedOn w:val="Normal"/>
    <w:uiPriority w:val="99"/>
    <w:qFormat/>
    <w:pPr>
      <w:ind w:firstLine="420"/>
    </w:pPr>
  </w:style>
  <w:style w:type="paragraph" w:styleId="ListParagraph">
    <w:name w:val="List Paragraph"/>
    <w:basedOn w:val="Normal"/>
    <w:uiPriority w:val="99"/>
    <w:qFormat/>
    <w:pPr>
      <w:ind w:firstLine="420"/>
    </w:pPr>
  </w:style>
  <w:style w:type="paragraph" w:customStyle="1" w:styleId="10">
    <w:name w:val="列表段落1"/>
    <w:basedOn w:val="Normal"/>
    <w:uiPriority w:val="99"/>
    <w:qFormat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718</Words>
  <Characters>731</Characters>
  <Application>Microsoft Office Word</Application>
  <DocSecurity>0</DocSecurity>
  <Lines>4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2018-11-27T03:06:00Z</cp:lastPrinted>
  <dcterms:created xsi:type="dcterms:W3CDTF">2018-10-12T06:13:00Z</dcterms:created>
  <dcterms:modified xsi:type="dcterms:W3CDTF">2026-03-05T06:39:42Z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FD4AB302BD894370B345AA0DEA623800_12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eyJoZGlkIjoiY2M5NzUxODNhNmUzMzEwMmQwNWUwNTk4NThjY2NhMWMiLCJ1c2VySWQiOiIxNjU3NjU1OTk1In0=</vt:lpwstr>
  </property>
</Properties>
</file>