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tbl>
      <w:tblPr>
        <w:tblStyle w:val="TableNormal"/>
        <w:tblpPr w:leftFromText="180" w:rightFromText="180" w:vertAnchor="page" w:horzAnchor="page" w:tblpX="1699" w:tblpY="2880"/>
        <w:tblOverlap w:val="never"/>
        <w:tblW w:w="5113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20"/>
        <w:gridCol w:w="532"/>
        <w:gridCol w:w="6037"/>
      </w:tblGrid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评审内容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评审因素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得分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评分标准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经营能力及保险产品销售综合实力（15分）</w:t>
            </w:r>
          </w:p>
          <w:p>
            <w:pPr>
              <w:pStyle w:val="a"/>
              <w:rPr>
                <w:rFonts w:ascii="仿宋" w:eastAsia="仿宋" w:hAnsi="仿宋" w:cs="仿宋" w:hint="eastAsia"/>
                <w:sz w:val="15"/>
                <w:szCs w:val="15"/>
              </w:rPr>
            </w:pP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投标人近三年营业收入RMB(3分）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年均营业收入≥</w:t>
            </w:r>
            <w:r>
              <w:rPr>
                <w:rFonts w:ascii="仿宋" w:eastAsia="仿宋" w:hAnsi="仿宋" w:cs="仿宋" w:hint="default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00万RMB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500万RMB＞年均营业收入≥300万RMB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default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300万RMB＞年均营业收入≥100万RMB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年均营业收入＜100万RMB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投标人资产负债情(2分）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投标人近三年年平均资产负债率在50%（含）以下。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投标人近三年年平均资产负债率超过50%。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保险产品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u w:val="none"/>
                <w:lang/>
              </w:rPr>
              <w:t>定制与资源整合能力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（6分）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default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合作保险公司数量≥50家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50＞合作保险公司数量≥30家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30＞合作保险公司数量≥10家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未满足上述要求的，不予得分。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u w:val="none"/>
                <w:lang/>
              </w:rPr>
              <w:t>交通领域合作经验</w:t>
            </w: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（4分）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default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具有2个及以上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公共交通场景合作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案例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如与航空、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地铁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大型交通枢纽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保险类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合作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项目）</w:t>
            </w: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default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具有1个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公共交通场景合作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案例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如与航空、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地铁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大型交通枢纽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保险类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/>
              </w:rPr>
              <w:t>合作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项目）</w:t>
            </w: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/>
              </w:rPr>
              <w:t>未满足上述要求的，不予得分。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/>
        </w:trPr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服务方案（15分）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设备运维及应急保障（5分）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  <w:p>
            <w:pPr>
              <w:bidi w:val="0"/>
              <w:jc w:val="center"/>
              <w:rPr>
                <w:rFonts w:asciiTheme="minorHAnsi" w:eastAsiaTheme="minorEastAsia" w:hAnsiTheme="minorHAnsi" w:cstheme="minorBidi"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0-5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提供完善的自助保险机运维维护方案，覆盖硬件、系统、数据全维度保障，可确保设备7×24小时稳定运行，同时提供运维应急响应、现场抢修及备用设备预案。方案合理、内容齐全、表述准确、条理清晰，内容无前后矛盾，能准确理解和熟悉本项目设备运维服务和内容，充分考虑用户需求。优得3-5分，良得1-2分，差或不提供的不得分。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保险产品功能与服务响应能力（5分）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0-5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提供对航空意外险、航班延误险、行李险、出行综合险的投保及查询功能覆盖完整性服务方案，同时提供投诉处理机制的高效性与落地性方案。方案合理、内容齐全、表述准确、条理清晰，功能全流程无缺失且投诉处理机制适配机场无驻场运营场景的得3-5分，仅满足核心险种功能或投诉机制不完善的得1-2分，缺失核心功能或未提供相关方案的不得分。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/>
        </w:trPr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运营合规保障（5分）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0-5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制定完善的自助保险机运营合规方案，覆盖客户信息安全、保险业务合规、数据存储保密等全维度保障。方案合理、内容齐全、表述准确、条理清晰，内容无前后矛盾，方案覆盖全面、措施具体且完全适配机场场景运营。优得3-5分，良得1-2分，差或不提供的不得分。</w:t>
            </w:r>
          </w:p>
        </w:tc>
      </w:tr>
      <w:tr>
        <w:tblPrEx>
          <w:tblW w:w="5113" w:type="pct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报价得分（70分）</w:t>
            </w:r>
          </w:p>
        </w:tc>
        <w:tc>
          <w:tcPr>
            <w:tcW w:w="45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仿宋" w:eastAsia="仿宋" w:hAnsi="仿宋" w:cs="仿宋" w:hint="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通过初步评审的有效含税报价（供应商所报台数合计含税总报价），计算出平均值（四舍五入保留一位小数），在该平均值1.2倍以内的，以最高租金为基准值，所报租金等于基准值即得满分70分。所报租金每低于基准值一个百分点扣0.5分，扣完为止。所报租金超过该平均值1.2倍的，租金每超过该平均值1.2倍一个百分点扣0.2分，扣完为止。</w:t>
            </w:r>
          </w:p>
        </w:tc>
      </w:tr>
    </w:tbl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highlight w:val="none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highlight w:val="none"/>
        </w:rPr>
        <w:t>附件</w:t>
      </w: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  <w:highlight w:val="none"/>
          <w:lang w:val="en-US" w:eastAsia="zh-CN"/>
        </w:rPr>
        <w:t>5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EastAsia" w:cs="Times New Roman" w:hint="eastAsia"/>
          <w:b/>
          <w:bCs/>
          <w:kern w:val="2"/>
          <w:highlight w:val="none"/>
          <w:lang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招商综合评分表</w:t>
      </w:r>
      <w:bookmarkStart w:id="0" w:name="_GoBack"/>
      <w:bookmarkEnd w:id="0"/>
    </w:p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Times New Roman" w:hint="eastAsia"/>
          <w:b/>
          <w:bCs/>
          <w:kern w:val="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">
    <w:name w:val="表格文字"/>
    <w:basedOn w:val="Normal"/>
    <w:qFormat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971</Words>
  <Characters>1042</Characters>
  <Application>Microsoft Office Word</Application>
  <DocSecurity>0</DocSecurity>
  <Lines>0</Lines>
  <Paragraphs>0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2026-03-09T09:29:00Z</cp:lastPrinted>
  <dcterms:created xsi:type="dcterms:W3CDTF">2026-03-09T03:20:00Z</dcterms:created>
  <dcterms:modified xsi:type="dcterms:W3CDTF">2026-03-18T02:36:03Z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60B17B1D76B74C62A357C86A479DC8D4_13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eyJoZGlkIjoiZTU0OGY0ZDQ0ZjI2ODE2MDI4YTBjYWMxODAzOTExNjIiLCJ1c2VySWQiOiIxMDU5NTY5OTcyIn0=</vt:lpwstr>
  </property>
</Properties>
</file>