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2386"/>
      <w:r>
        <w:rPr>
          <w:rFonts w:ascii="宋体" w:hAnsi="宋体" w:cs="宋体" w:hint="eastAsia"/>
          <w:b/>
          <w:bCs/>
          <w:color w:val="auto"/>
          <w:sz w:val="30"/>
          <w:szCs w:val="30"/>
          <w:highlight w:val="none"/>
          <w:lang w:val="en-US" w:eastAsia="zh-CN"/>
        </w:rPr>
        <w:t>附件1-1：商家资料清单</w:t>
      </w:r>
      <w:r>
        <w:rPr>
          <w:rFonts w:ascii="宋体" w:hAnsi="宋体" w:cs="宋体" w:hint="eastAsia"/>
          <w:b/>
          <w:bCs/>
          <w:color w:val="auto"/>
          <w:sz w:val="30"/>
          <w:szCs w:val="30"/>
          <w:highlight w:val="none"/>
          <w:lang w:val="en-US"/>
        </w:rPr>
        <w:t>及商务报价单</w:t>
      </w:r>
      <w:r>
        <w:rPr>
          <w:rFonts w:ascii="宋体" w:hAnsi="宋体" w:cs="宋体" w:hint="eastAsia"/>
          <w:b/>
          <w:bCs/>
          <w:color w:val="auto"/>
          <w:sz w:val="30"/>
          <w:szCs w:val="30"/>
          <w:highlight w:val="none"/>
          <w:lang w:val="en-US" w:eastAsia="zh-CN"/>
        </w:rPr>
        <w:t>（休闲其他</w:t>
      </w:r>
      <w:r>
        <w:rPr>
          <w:rFonts w:ascii="宋体" w:hAnsi="宋体" w:cs="宋体" w:hint="eastAsia"/>
          <w:b/>
          <w:bCs/>
          <w:color w:val="auto"/>
          <w:sz w:val="28"/>
          <w:szCs w:val="28"/>
          <w:highlight w:val="none"/>
          <w:lang w:val="en-US" w:eastAsia="zh-CN"/>
        </w:rPr>
        <w:t>）</w:t>
      </w:r>
    </w:p>
    <w:p>
      <w:pPr>
        <w:spacing w:line="360" w:lineRule="auto"/>
        <w:jc w:val="both"/>
        <w:outlineLvl w:val="0"/>
        <w:rPr>
          <w:rFonts w:ascii="宋体" w:hAnsi="宋体" w:cs="宋体" w:hint="eastAsia"/>
          <w:b/>
          <w:bCs/>
          <w:color w:val="auto"/>
          <w:sz w:val="52"/>
          <w:szCs w:val="52"/>
          <w:highlight w:val="none"/>
        </w:rPr>
      </w:pPr>
      <w:bookmarkEnd w:id="0"/>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0"/>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0"/>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0"/>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ind w:firstLine="420"/>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0"/>
        <w:rPr>
          <w:rFonts w:ascii="宋体" w:hAnsi="宋体" w:cs="宋体"/>
          <w:b/>
          <w:bCs/>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0"/>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w:t>
      </w:r>
      <w:r>
        <w:rPr>
          <w:rFonts w:ascii="宋体" w:hAnsi="宋体" w:cs="Times New Roman" w:hint="eastAsia"/>
          <w:color w:val="auto"/>
          <w:kern w:val="0"/>
          <w:sz w:val="21"/>
          <w:szCs w:val="20"/>
          <w:highlight w:val="none"/>
          <w:lang w:val="en-US" w:eastAsia="zh-CN" w:bidi="ar-SA"/>
        </w:rPr>
        <w:t>投</w:t>
      </w:r>
      <w:r>
        <w:rPr>
          <w:rFonts w:ascii="宋体" w:eastAsia="宋体" w:hAnsi="宋体" w:cs="Times New Roman" w:hint="eastAsia"/>
          <w:color w:val="auto"/>
          <w:kern w:val="0"/>
          <w:sz w:val="21"/>
          <w:szCs w:val="20"/>
          <w:highlight w:val="none"/>
          <w:lang w:val="en-US" w:eastAsia="zh-CN" w:bidi="ar-SA"/>
        </w:rPr>
        <w:t>报</w:t>
      </w:r>
      <w:r>
        <w:rPr>
          <w:rFonts w:ascii="宋体" w:hAnsi="宋体" w:cs="Times New Roman" w:hint="eastAsia"/>
          <w:color w:val="auto"/>
          <w:kern w:val="0"/>
          <w:sz w:val="21"/>
          <w:szCs w:val="20"/>
          <w:highlight w:val="none"/>
          <w:lang w:val="en-US" w:eastAsia="zh-CN" w:bidi="ar-SA"/>
        </w:rPr>
        <w:t>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0"/>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default"/>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2026年4月30日，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rPr>
        <w:t>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0"/>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bookmarkStart w:id="2" w:name="_Toc4063"/>
      <w:bookmarkStart w:id="3" w:name="_Toc27037"/>
      <w:bookmarkStart w:id="4" w:name="_Toc9087"/>
      <w:bookmarkStart w:id="5" w:name="_Toc41558662"/>
      <w:bookmarkStart w:id="6" w:name="_Hlk41556141"/>
      <w:r>
        <w:rPr>
          <w:rFonts w:ascii="宋体" w:hAnsi="宋体" w:cs="宋体" w:hint="eastAsia"/>
          <w:color w:val="auto"/>
          <w:szCs w:val="21"/>
          <w:highlight w:val="none"/>
          <w:lang w:val="en-US" w:eastAsia="zh-CN"/>
        </w:rPr>
        <w:t>4.2</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kern w:val="0"/>
          <w:szCs w:val="21"/>
          <w:highlight w:val="none"/>
          <w:lang w:val="en-US"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1.1</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2026年4月30日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335"/>
        <w:gridCol w:w="1700"/>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335" w:type="dxa"/>
            <w:vAlign w:val="center"/>
          </w:tcPr>
          <w:p>
            <w:pPr>
              <w:spacing w:line="360" w:lineRule="auto"/>
              <w:jc w:val="center"/>
              <w:rPr>
                <w:rFonts w:asciiTheme="minorEastAsia" w:eastAsiaTheme="minorEastAsia" w:hAnsiTheme="minorEastAsia" w:cstheme="minorEastAsia" w:hint="eastAsia"/>
                <w:b/>
                <w:bCs/>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r>
              <w:rPr>
                <w:rFonts w:asciiTheme="minorEastAsia" w:eastAsiaTheme="minorEastAsia" w:hAnsiTheme="minorEastAsia" w:cstheme="minorEastAsia" w:hint="eastAsia"/>
                <w:b/>
                <w:bCs/>
                <w:color w:val="auto"/>
                <w:szCs w:val="21"/>
                <w:highlight w:val="none"/>
                <w:lang w:val="en-US" w:eastAsia="zh-CN"/>
              </w:rPr>
              <w:t>/</w:t>
            </w:r>
          </w:p>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（在营自助设备数量）</w:t>
            </w:r>
          </w:p>
        </w:tc>
        <w:tc>
          <w:tcPr>
            <w:tcW w:w="170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33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700"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335"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700"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33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335"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70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20"/>
        </w:trPr>
        <w:tc>
          <w:tcPr>
            <w:tcW w:w="7870" w:type="dxa"/>
            <w:gridSpan w:val="5"/>
            <w:vAlign w:val="center"/>
          </w:tcPr>
          <w:p>
            <w:pPr>
              <w:spacing w:line="360" w:lineRule="auto"/>
              <w:ind w:left="0"/>
              <w:jc w:val="left"/>
              <w:rPr>
                <w:rFonts w:ascii="Calibri" w:eastAsia="宋体" w:hAnsi="Calibri" w:cs="Times New Roman" w:hint="eastAsia"/>
                <w:b/>
                <w:bCs/>
                <w:kern w:val="2"/>
                <w:sz w:val="21"/>
                <w:szCs w:val="24"/>
                <w:highlight w:val="none"/>
                <w:lang w:val="en-US" w:eastAsia="zh-CN" w:bidi="ar-SA"/>
              </w:rPr>
            </w:pPr>
            <w:r>
              <w:rPr>
                <w:rFonts w:hint="eastAsia"/>
                <w:b/>
                <w:bCs/>
                <w:highlight w:val="none"/>
                <w:lang w:val="en-US" w:eastAsia="zh-CN"/>
              </w:rPr>
              <w:t>截止</w:t>
            </w:r>
            <w:r>
              <w:rPr>
                <w:rFonts w:hint="eastAsia"/>
                <w:b/>
                <w:bCs/>
                <w:highlight w:val="none"/>
                <w:lang w:eastAsia="zh-CN"/>
              </w:rPr>
              <w:t>2026年4月30日，</w:t>
            </w:r>
            <w:r>
              <w:rPr>
                <w:rFonts w:hint="eastAsia"/>
                <w:b/>
                <w:bCs/>
                <w:highlight w:val="none"/>
                <w:lang w:val="en-US" w:eastAsia="zh-CN"/>
              </w:rPr>
              <w:t xml:space="preserve">            （品牌名称）在</w:t>
            </w:r>
            <w:r>
              <w:rPr>
                <w:rFonts w:hint="eastAsia"/>
                <w:b/>
                <w:bCs/>
                <w:highlight w:val="none"/>
              </w:rPr>
              <w:t>国内省会城市及直辖市、深圳市区、港澳台</w:t>
            </w:r>
            <w:r>
              <w:rPr>
                <w:rFonts w:hint="eastAsia"/>
                <w:b/>
                <w:bCs/>
                <w:highlight w:val="none"/>
                <w:lang w:val="en-US" w:eastAsia="zh-CN"/>
              </w:rPr>
              <w:t>商业综合体布局共开设</w:t>
            </w:r>
            <w:r>
              <w:rPr>
                <w:rFonts w:hint="eastAsia"/>
                <w:b/>
                <w:bCs/>
                <w:highlight w:val="none"/>
              </w:rPr>
              <w:t xml:space="preserve">    家</w:t>
            </w:r>
            <w:r>
              <w:rPr>
                <w:rFonts w:hint="eastAsia"/>
                <w:b/>
                <w:bCs/>
                <w:highlight w:val="none"/>
                <w:lang w:val="en-US" w:eastAsia="zh-CN"/>
              </w:rPr>
              <w:t>在营门店</w:t>
            </w:r>
            <w:r>
              <w:rPr>
                <w:rFonts w:hint="eastAsia"/>
                <w:b/>
                <w:bCs/>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b/>
          <w:bCs/>
          <w:color w:val="auto"/>
          <w:szCs w:val="21"/>
          <w:highlight w:val="none"/>
          <w:lang w:val="en-US" w:eastAsia="zh-CN"/>
        </w:rPr>
        <w:t xml:space="preserve"> </w:t>
      </w: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pStyle w:val="a"/>
        <w:rPr>
          <w:rFonts w:hint="eastAsia"/>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w:t>
      </w:r>
      <w:r>
        <w:rPr>
          <w:rFonts w:ascii="宋体" w:hAnsi="宋体" w:cs="宋体" w:hint="eastAsia"/>
          <w:color w:val="auto"/>
          <w:szCs w:val="21"/>
          <w:highlight w:val="none"/>
          <w:lang w:val="en-US" w:eastAsia="zh-CN"/>
        </w:rPr>
        <w:t>1.2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2"/>
        </w:numPr>
        <w:spacing w:line="360" w:lineRule="auto"/>
        <w:outlineLvl w:val="2"/>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rPr>
        <w:t>其他资料</w:t>
      </w:r>
    </w:p>
    <w:p>
      <w:pPr>
        <w:pStyle w:val="a"/>
        <w:numPr>
          <w:numId w:val="0"/>
        </w:numPr>
        <w:rPr>
          <w:rFonts w:ascii="宋体" w:hAnsi="宋体" w:cs="宋体"/>
          <w:b/>
          <w:bCs/>
          <w:color w:val="auto"/>
          <w:szCs w:val="21"/>
          <w:highlight w:val="none"/>
        </w:rPr>
      </w:pPr>
      <w:bookmarkStart w:id="8" w:name="_GoBack"/>
      <w:bookmarkEnd w:id="8"/>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0"/>
          <w:numId w:val="0"/>
        </w:numPr>
        <w:rPr>
          <w:rFonts w:ascii="宋体" w:eastAsia="宋体" w:hAnsi="宋体" w:cs="宋体" w:hint="eastAsia"/>
          <w:b/>
          <w:bCs/>
          <w:color w:val="auto"/>
          <w:kern w:val="2"/>
          <w:sz w:val="21"/>
          <w:szCs w:val="21"/>
          <w:highlight w:val="none"/>
          <w:lang w:val="en-US" w:eastAsia="zh-CN" w:bidi="ar-SA"/>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b/>
          <w:bCs/>
          <w:color w:val="auto"/>
          <w:sz w:val="24"/>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pStyle w:val="a"/>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自助综合机</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标段</w:t>
            </w:r>
          </w:p>
        </w:tc>
        <w:tc>
          <w:tcPr>
            <w:tcW w:w="6227" w:type="dxa"/>
          </w:tcPr>
          <w:p>
            <w:pPr>
              <w:spacing w:line="360" w:lineRule="auto"/>
              <w:ind w:firstLine="2400"/>
              <w:jc w:val="both"/>
              <w:rPr>
                <w:rFonts w:ascii="宋体" w:eastAsia="宋体" w:hAnsi="宋体" w:cs="宋体" w:hint="default"/>
                <w:color w:val="auto"/>
                <w:kern w:val="0"/>
                <w:sz w:val="24"/>
                <w:szCs w:val="21"/>
                <w:highlight w:val="none"/>
                <w:lang w:val="en-US" w:eastAsia="zh-CN" w:bidi="ar-SA"/>
              </w:rPr>
            </w:pPr>
            <w:r>
              <w:rPr>
                <w:rFonts w:ascii="宋体" w:hAnsi="宋体" w:cs="宋体" w:hint="eastAsia"/>
                <w:color w:val="auto"/>
                <w:szCs w:val="21"/>
                <w:highlight w:val="none"/>
                <w:lang w:val="en-US" w:eastAsia="zh-CN"/>
              </w:rPr>
              <w:t>VEM1-S-6</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响应人</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经营期限</w:t>
            </w:r>
          </w:p>
        </w:tc>
        <w:tc>
          <w:tcPr>
            <w:tcW w:w="6227" w:type="dxa"/>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月</w:t>
            </w:r>
            <w:r>
              <w:rPr>
                <w:rFonts w:ascii="宋体" w:hAnsi="宋体" w:cs="宋体" w:hint="eastAsia"/>
                <w:color w:val="auto"/>
                <w:kern w:val="0"/>
                <w:sz w:val="24"/>
                <w:szCs w:val="21"/>
                <w:highlight w:val="none"/>
                <w:lang w:val="en-US" w:eastAsia="zh-CN" w:bidi="ar-SA"/>
              </w:rPr>
              <w:t>合同</w:t>
            </w:r>
            <w:r>
              <w:rPr>
                <w:rFonts w:ascii="宋体" w:eastAsia="宋体" w:hAnsi="宋体" w:cs="宋体" w:hint="eastAsia"/>
                <w:color w:val="auto"/>
                <w:kern w:val="0"/>
                <w:sz w:val="24"/>
                <w:szCs w:val="21"/>
                <w:highlight w:val="none"/>
                <w:lang w:val="en-US" w:eastAsia="zh-CN" w:bidi="ar-SA"/>
              </w:rPr>
              <w:t>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eastAsia="宋体" w:hAnsi="宋体" w:cs="宋体" w:hint="eastAsia"/>
                <w:color w:val="auto"/>
                <w:kern w:val="0"/>
                <w:sz w:val="24"/>
                <w:szCs w:val="21"/>
                <w:highlight w:val="none"/>
                <w:lang w:val="en-US" w:eastAsia="zh-CN" w:bidi="ar-SA"/>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T1航站楼A指廊</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w:t>
            </w:r>
            <w:r>
              <w:rPr>
                <w:rFonts w:asciiTheme="minorEastAsia" w:eastAsiaTheme="minorEastAsia" w:hAnsiTheme="minorEastAsia" w:cs="宋体" w:hint="eastAsia"/>
                <w:color w:val="auto"/>
                <w:szCs w:val="21"/>
                <w:highlight w:val="none"/>
              </w:rPr>
              <w:t>万人次时月</w:t>
            </w:r>
            <w:r>
              <w:rPr>
                <w:rFonts w:asciiTheme="minorEastAsia" w:eastAsiaTheme="minorEastAsia" w:hAnsiTheme="minorEastAsia" w:cs="宋体" w:hint="eastAsia"/>
                <w:color w:val="auto"/>
                <w:szCs w:val="21"/>
                <w:highlight w:val="none"/>
                <w:lang w:val="en-US" w:eastAsia="zh-CN"/>
              </w:rPr>
              <w:t>合同</w:t>
            </w:r>
            <w:r>
              <w:rPr>
                <w:rFonts w:asciiTheme="minorEastAsia" w:eastAsiaTheme="minorEastAsia" w:hAnsiTheme="minorEastAsia" w:cs="宋体" w:hint="eastAsia"/>
                <w:color w:val="auto"/>
                <w:szCs w:val="21"/>
                <w:highlight w:val="none"/>
              </w:rPr>
              <w:t>经营费用单价（元/</w:t>
            </w:r>
            <w:r>
              <w:rPr>
                <w:rFonts w:asciiTheme="minorEastAsia" w:eastAsiaTheme="minorEastAsia" w:hAnsiTheme="minorEastAsia" w:cs="宋体" w:hint="eastAsia"/>
                <w:color w:val="auto"/>
                <w:szCs w:val="21"/>
                <w:highlight w:val="none"/>
                <w:lang w:val="en-US" w:eastAsia="zh-CN"/>
              </w:rPr>
              <w:t>台</w:t>
            </w:r>
            <w:r>
              <w:rPr>
                <w:rFonts w:asciiTheme="minorEastAsia" w:eastAsiaTheme="minorEastAsia" w:hAnsiTheme="minorEastAsia" w:cs="宋体" w:hint="eastAsia"/>
                <w:color w:val="auto"/>
                <w:szCs w:val="21"/>
                <w:highlight w:val="none"/>
              </w:rPr>
              <w:t>/月）</w:t>
            </w:r>
          </w:p>
        </w:tc>
        <w:tc>
          <w:tcPr>
            <w:tcW w:w="6227"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eastAsia="宋体" w:hAnsi="宋体" w:cs="宋体" w:hint="eastAsia"/>
                <w:color w:val="auto"/>
                <w:kern w:val="0"/>
                <w:sz w:val="24"/>
                <w:szCs w:val="21"/>
                <w:highlight w:val="none"/>
                <w:lang w:val="en-US" w:eastAsia="zh-CN" w:bidi="ar-SA"/>
              </w:rPr>
              <w:t xml:space="preserve">  </w:t>
            </w:r>
            <w:r>
              <w:rPr>
                <w:rFonts w:ascii="宋体" w:hAnsi="宋体" w:cs="宋体" w:hint="eastAsia"/>
                <w:color w:val="auto"/>
                <w:szCs w:val="21"/>
                <w:highlight w:val="none"/>
                <w:u w:val="single"/>
              </w:rPr>
              <w:t xml:space="preserve">            </w:t>
            </w:r>
            <w:r>
              <w:rPr>
                <w:rFonts w:ascii="宋体" w:eastAsia="宋体" w:hAnsi="宋体" w:cs="宋体" w:hint="eastAsia"/>
                <w:color w:val="auto"/>
                <w:kern w:val="0"/>
                <w:sz w:val="24"/>
                <w:szCs w:val="21"/>
                <w:highlight w:val="none"/>
                <w:lang w:val="en-US" w:eastAsia="zh-CN" w:bidi="ar-SA"/>
              </w:rPr>
              <w:t xml:space="preserve"> （元/</w:t>
            </w:r>
            <w:r>
              <w:rPr>
                <w:rFonts w:ascii="宋体" w:hAnsi="宋体" w:cs="宋体" w:hint="eastAsia"/>
                <w:color w:val="auto"/>
                <w:kern w:val="0"/>
                <w:sz w:val="24"/>
                <w:szCs w:val="21"/>
                <w:highlight w:val="none"/>
                <w:lang w:val="en-US" w:eastAsia="zh-CN" w:bidi="ar-SA"/>
              </w:rPr>
              <w:t>台</w:t>
            </w:r>
            <w:r>
              <w:rPr>
                <w:rFonts w:ascii="宋体" w:eastAsia="宋体" w:hAnsi="宋体" w:cs="宋体" w:hint="eastAsia"/>
                <w:color w:val="auto"/>
                <w:kern w:val="0"/>
                <w:sz w:val="24"/>
                <w:szCs w:val="21"/>
                <w:highlight w:val="none"/>
                <w:lang w:val="en-US" w:eastAsia="zh-CN" w:bidi="ar-SA"/>
              </w:rPr>
              <w:t>/月）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Cs w:val="21"/>
                <w:highlight w:val="none"/>
              </w:rPr>
              <w:t>备注</w:t>
            </w:r>
          </w:p>
        </w:tc>
        <w:tc>
          <w:tcPr>
            <w:tcW w:w="6227" w:type="dxa"/>
          </w:tcPr>
          <w:p>
            <w:pPr>
              <w:pStyle w:val="a"/>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经营费用模式。</w:t>
            </w:r>
          </w:p>
          <w:p>
            <w:pPr>
              <w:pStyle w:val="a"/>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w:t>
            </w:r>
            <w:r>
              <w:rPr>
                <w:rFonts w:ascii="宋体" w:hAnsi="宋体" w:cs="宋体" w:hint="eastAsia"/>
                <w:color w:val="auto"/>
                <w:szCs w:val="21"/>
                <w:highlight w:val="none"/>
                <w:lang w:val="en-US" w:eastAsia="zh-CN"/>
              </w:rPr>
              <w:t>合同</w:t>
            </w:r>
            <w:r>
              <w:rPr>
                <w:rFonts w:ascii="宋体" w:hAnsi="宋体" w:cs="宋体" w:hint="eastAsia"/>
                <w:color w:val="auto"/>
                <w:szCs w:val="21"/>
                <w:highlight w:val="none"/>
              </w:rPr>
              <w:t>经营费用随双流国际机场</w:t>
            </w:r>
            <w:r>
              <w:rPr>
                <w:rFonts w:ascii="宋体" w:hAnsi="宋体" w:cs="宋体" w:hint="eastAsia"/>
                <w:color w:val="auto"/>
                <w:szCs w:val="21"/>
                <w:highlight w:val="none"/>
                <w:lang w:val="en-US" w:eastAsia="zh-CN"/>
              </w:rPr>
              <w:t>T1</w:t>
            </w:r>
            <w:r>
              <w:rPr>
                <w:rFonts w:ascii="宋体" w:hAnsi="宋体" w:cs="宋体" w:hint="eastAsia"/>
                <w:color w:val="auto"/>
                <w:szCs w:val="21"/>
                <w:highlight w:val="none"/>
                <w:lang w:eastAsia="zh-CN"/>
              </w:rPr>
              <w:t>航站楼</w:t>
            </w:r>
            <w:r>
              <w:rPr>
                <w:rFonts w:ascii="宋体" w:hAnsi="宋体" w:cs="宋体" w:hint="eastAsia"/>
                <w:color w:val="auto"/>
                <w:szCs w:val="21"/>
                <w:highlight w:val="none"/>
                <w:lang w:val="en-US" w:eastAsia="zh-CN"/>
              </w:rPr>
              <w:t>A指廊</w:t>
            </w:r>
            <w:r>
              <w:rPr>
                <w:rFonts w:ascii="宋体" w:hAnsi="宋体" w:cs="宋体" w:hint="eastAsia"/>
                <w:color w:val="auto"/>
                <w:szCs w:val="21"/>
                <w:highlight w:val="none"/>
              </w:rPr>
              <w:t>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w:t>
            </w:r>
            <w:r>
              <w:rPr>
                <w:rFonts w:ascii="宋体" w:hAnsi="宋体" w:cs="宋体" w:hint="eastAsia"/>
                <w:color w:val="auto"/>
                <w:szCs w:val="21"/>
                <w:highlight w:val="none"/>
              </w:rPr>
              <w:t>万人次进行调整。</w:t>
            </w:r>
          </w:p>
          <w:p>
            <w:pPr>
              <w:pStyle w:val="a"/>
              <w:spacing w:line="360" w:lineRule="auto"/>
              <w:rPr>
                <w:rFonts w:ascii="宋体" w:eastAsia="宋体" w:hAnsi="宋体" w:cs="宋体" w:hint="eastAsia"/>
                <w:color w:val="auto"/>
                <w:kern w:val="0"/>
                <w:sz w:val="24"/>
                <w:szCs w:val="21"/>
                <w:highlight w:val="none"/>
                <w:lang w:val="en-US" w:eastAsia="zh-CN" w:bidi="ar-SA"/>
              </w:rPr>
            </w:pPr>
            <w:r>
              <w:rPr>
                <w:rFonts w:ascii="宋体" w:hAnsi="宋体" w:cs="宋体" w:hint="eastAsia"/>
                <w:color w:val="auto"/>
                <w:sz w:val="24"/>
                <w:szCs w:val="21"/>
                <w:highlight w:val="none"/>
              </w:rPr>
              <w:t>3、经营费用计算均以人民币为单位。</w:t>
            </w:r>
          </w:p>
        </w:tc>
      </w:tr>
    </w:tbl>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Pages>26</Pages>
  <Words>4571</Words>
  <Characters>4887</Characters>
  <Application>Microsoft Office Word</Application>
  <DocSecurity>0</DocSecurity>
  <Lines>0</Lines>
  <Paragraphs>0</Paragraphs>
  <ScaleCrop>false</ScaleCrop>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2026-04-22T08:22:00Z</cp:lastPrinted>
  <dcterms:created xsi:type="dcterms:W3CDTF">2024-10-08T15:32:00Z</dcterms:created>
  <dcterms:modified xsi:type="dcterms:W3CDTF">2026-05-19T08:01:35Z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3E19CAF0AED1410E8F6DFD3DED5D6DD9_12</vt:lpwstr>
  </property>
  <property fmtid="{D5CDD505-2E9C-101B-9397-08002B2CF9AE}" pid="3" name="KSOProductBuildVer">
    <vt:lpwstr>2052-12.1.0.25865</vt:lpwstr>
  </property>
  <property fmtid="{D5CDD505-2E9C-101B-9397-08002B2CF9AE}" pid="4" name="KSOTemplateDocerSaveRecord">
    <vt:lpwstr>eyJoZGlkIjoiMGY5MmFlNGUxN2MwOWI2NGI1OTFjMmEwZjgxNzhhYzUiLCJ1c2VySWQiOiIxNjU3NjM4NTU2In0=</vt:lpwstr>
  </property>
</Properties>
</file>