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spacing w:line="360" w:lineRule="auto"/>
        <w:jc w:val="both"/>
        <w:outlineLvl w:val="0"/>
        <w:rPr>
          <w:rFonts w:ascii="宋体" w:eastAsia="宋体" w:hAnsi="宋体" w:cs="宋体" w:hint="default"/>
          <w:b/>
          <w:bCs/>
          <w:color w:val="auto"/>
          <w:sz w:val="30"/>
          <w:szCs w:val="30"/>
          <w:highlight w:val="none"/>
          <w:lang w:val="en-US" w:eastAsia="zh-CN"/>
        </w:rPr>
      </w:pPr>
      <w:bookmarkStart w:id="0" w:name="_Toc14981"/>
      <w:r>
        <w:rPr>
          <w:rFonts w:ascii="宋体" w:hAnsi="宋体" w:cs="宋体" w:hint="eastAsia"/>
          <w:b/>
          <w:bCs/>
          <w:color w:val="auto"/>
          <w:sz w:val="30"/>
          <w:szCs w:val="30"/>
          <w:highlight w:val="none"/>
          <w:lang w:val="en-US" w:eastAsia="zh-CN"/>
        </w:rPr>
        <w:t>附件1-5：商家资料清单及商务报价单（食品特产</w:t>
      </w:r>
      <w:r>
        <w:rPr>
          <w:rFonts w:ascii="宋体" w:hAnsi="宋体" w:cs="宋体" w:hint="eastAsia"/>
          <w:b/>
          <w:bCs/>
          <w:color w:val="auto"/>
          <w:sz w:val="28"/>
          <w:szCs w:val="28"/>
          <w:highlight w:val="none"/>
          <w:lang w:val="en-US" w:eastAsia="zh-CN"/>
        </w:rPr>
        <w:t>）</w:t>
      </w:r>
    </w:p>
    <w:p>
      <w:pPr>
        <w:spacing w:line="360" w:lineRule="auto"/>
        <w:jc w:val="center"/>
        <w:outlineLvl w:val="0"/>
        <w:rPr>
          <w:rFonts w:asciiTheme="majorEastAsia" w:eastAsiaTheme="majorEastAsia" w:hAnsiTheme="majorEastAsia" w:cstheme="majorEastAsia" w:hint="eastAsia"/>
          <w:color w:val="auto"/>
          <w:highlight w:val="none"/>
        </w:rPr>
      </w:pPr>
      <w:r>
        <w:rPr>
          <w:rFonts w:ascii="宋体" w:hAnsi="宋体" w:cs="宋体" w:hint="eastAsia"/>
          <w:b/>
          <w:bCs/>
          <w:color w:val="auto"/>
          <w:sz w:val="52"/>
          <w:szCs w:val="52"/>
          <w:highlight w:val="none"/>
        </w:rPr>
        <w:t xml:space="preserve"> </w:t>
      </w:r>
      <w:r>
        <w:rPr>
          <w:rFonts w:ascii="宋体" w:hAnsi="宋体" w:cs="宋体" w:hint="eastAsia"/>
          <w:b/>
          <w:bCs/>
          <w:color w:val="auto"/>
          <w:sz w:val="52"/>
          <w:szCs w:val="52"/>
          <w:highlight w:val="none"/>
          <w:lang w:eastAsia="zh-CN"/>
        </w:rPr>
        <w:t>响应文件</w:t>
      </w:r>
      <w:r>
        <w:rPr>
          <w:rFonts w:ascii="宋体" w:hAnsi="宋体" w:cs="宋体" w:hint="eastAsia"/>
          <w:b/>
          <w:bCs/>
          <w:color w:val="auto"/>
          <w:sz w:val="52"/>
          <w:szCs w:val="52"/>
          <w:highlight w:val="none"/>
        </w:rPr>
        <w:t>格式</w:t>
      </w:r>
      <w:bookmarkEnd w:id="0"/>
    </w:p>
    <w:p>
      <w:pPr>
        <w:spacing w:line="360" w:lineRule="auto"/>
        <w:jc w:val="right"/>
        <w:rPr>
          <w:rFonts w:asciiTheme="majorEastAsia" w:eastAsiaTheme="majorEastAsia" w:hAnsiTheme="majorEastAsia" w:cstheme="majorEastAsia" w:hint="eastAsia"/>
          <w:b/>
          <w:color w:val="auto"/>
          <w:sz w:val="44"/>
          <w:szCs w:val="44"/>
          <w:highlight w:val="none"/>
        </w:rPr>
      </w:pPr>
    </w:p>
    <w:p>
      <w:pPr>
        <w:jc w:val="center"/>
        <w:rPr>
          <w:rFonts w:asciiTheme="majorEastAsia" w:eastAsiaTheme="majorEastAsia" w:hAnsiTheme="majorEastAsia" w:cstheme="majorEastAsia" w:hint="eastAsia"/>
          <w:color w:val="auto"/>
          <w:sz w:val="44"/>
          <w:szCs w:val="44"/>
          <w:highlight w:val="none"/>
        </w:rPr>
      </w:pPr>
    </w:p>
    <w:p>
      <w:pPr>
        <w:jc w:val="center"/>
        <w:rPr>
          <w:rFonts w:asciiTheme="majorEastAsia" w:eastAsiaTheme="majorEastAsia" w:hAnsiTheme="majorEastAsia" w:cstheme="majorEastAsia" w:hint="eastAsia"/>
          <w:b/>
          <w:color w:val="auto"/>
          <w:sz w:val="84"/>
          <w:szCs w:val="72"/>
          <w:highlight w:val="none"/>
          <w:lang w:eastAsia="zh-CN"/>
        </w:rPr>
      </w:pPr>
      <w:r>
        <w:rPr>
          <w:rFonts w:asciiTheme="majorEastAsia" w:eastAsiaTheme="majorEastAsia" w:hAnsiTheme="majorEastAsia" w:cstheme="majorEastAsia" w:hint="eastAsia"/>
          <w:b/>
          <w:color w:val="auto"/>
          <w:sz w:val="84"/>
          <w:szCs w:val="72"/>
          <w:highlight w:val="none"/>
          <w:lang w:eastAsia="zh-CN"/>
        </w:rPr>
        <w:t>响应文件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eastAsia="zh-CN"/>
        </w:rPr>
        <w:t>响应人</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rFonts w:ascii="宋体" w:hAnsi="宋体" w:cs="宋体"/>
          <w:color w:val="auto"/>
          <w:highlight w:val="none"/>
        </w:rPr>
      </w:pPr>
    </w:p>
    <w:p>
      <w:pPr>
        <w:pStyle w:val="a"/>
        <w:rPr>
          <w:rFonts w:ascii="宋体" w:hAnsi="宋体" w:cs="宋体"/>
          <w:color w:val="auto"/>
          <w:highlight w:val="none"/>
        </w:rPr>
      </w:pP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outlineLvl w:val="0"/>
        <w:rPr>
          <w:rFonts w:ascii="宋体" w:hAnsi="宋体" w:cs="宋体"/>
          <w:color w:val="auto"/>
          <w:szCs w:val="21"/>
          <w:highlight w:val="none"/>
        </w:rPr>
      </w:pPr>
      <w:bookmarkStart w:id="1" w:name="_Toc6859"/>
      <w:r>
        <w:rPr>
          <w:rFonts w:ascii="宋体" w:hAnsi="宋体" w:cs="宋体" w:hint="eastAsia"/>
          <w:b/>
          <w:bCs/>
          <w:color w:val="auto"/>
          <w:szCs w:val="21"/>
          <w:highlight w:val="none"/>
        </w:rPr>
        <w:t>（一）技术方案分册</w:t>
      </w:r>
      <w:bookmarkEnd w:id="1"/>
    </w:p>
    <w:p>
      <w:pPr>
        <w:numPr>
          <w:ilvl w:val="0"/>
          <w:numId w:val="1"/>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1.1合作申请书格式</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合作申请书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致：成都双流国际机场股份有限公司</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一、为对《</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》表示响应，我们以下签字人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名称】，遵照</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文件的条款和条件，递交完全符合</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的关于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招商响应</w:t>
      </w:r>
      <w:r>
        <w:rPr>
          <w:rFonts w:ascii="宋体" w:hAnsi="宋体" w:cs="宋体" w:hint="eastAsia"/>
          <w:color w:val="auto"/>
          <w:szCs w:val="21"/>
          <w:highlight w:val="none"/>
        </w:rPr>
        <w:t>文件。</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二、我们确认，我们已仔细阅读并研究发布的</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，以及于</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日发出的补充通知书（若有），我们知道必须放弃对上述文件和资料的所有条款提出含糊不清的问题的权利。</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三、我们确认，我们将自行承担因参加本项目的</w:t>
      </w:r>
      <w:r>
        <w:rPr>
          <w:rFonts w:ascii="宋体" w:hAnsi="宋体" w:cs="宋体" w:hint="eastAsia"/>
          <w:color w:val="auto"/>
          <w:szCs w:val="21"/>
          <w:highlight w:val="none"/>
          <w:lang w:eastAsia="zh-CN"/>
        </w:rPr>
        <w:t>招商活动</w:t>
      </w:r>
      <w:r>
        <w:rPr>
          <w:rFonts w:ascii="宋体" w:hAnsi="宋体" w:cs="宋体" w:hint="eastAsia"/>
          <w:color w:val="auto"/>
          <w:szCs w:val="21"/>
          <w:highlight w:val="none"/>
        </w:rPr>
        <w:t>而发生的任何费用。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四、我们确认，本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的有效期为自提交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截止日起的九十（90）天。根据《</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须知》，该限期可以延长，在任何延长期内，我们的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val="en-US" w:eastAsia="zh-CN"/>
        </w:rPr>
        <w:t>招商</w:t>
      </w:r>
      <w:r>
        <w:rPr>
          <w:rFonts w:ascii="宋体" w:hAnsi="宋体" w:cs="宋体" w:hint="eastAsia"/>
          <w:color w:val="auto"/>
          <w:szCs w:val="21"/>
          <w:highlight w:val="none"/>
        </w:rPr>
        <w:t>规则，并承诺按照这些规则履行我们的所有义务，包括：一旦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六、根据《</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格式》，我们在此与本合作申请书一并提交的作为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hAnsi="宋体" w:cs="宋体" w:hint="eastAsia"/>
          <w:color w:val="auto"/>
          <w:sz w:val="21"/>
          <w:szCs w:val="21"/>
          <w:highlight w:val="none"/>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人的名义签署</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文件、递交</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文件、与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 xml:space="preserve">人公章：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9"/>
        <w:rPr>
          <w:rFonts w:ascii="宋体" w:hAnsi="宋体" w:cs="宋体" w:hint="eastAsia"/>
          <w:color w:val="auto"/>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条件承诺书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响应</w:t>
      </w:r>
      <w:r>
        <w:rPr>
          <w:rFonts w:ascii="宋体" w:hAnsi="宋体" w:cs="宋体" w:hint="eastAsia"/>
          <w:b/>
          <w:color w:val="auto"/>
          <w:kern w:val="0"/>
          <w:szCs w:val="21"/>
          <w:highlight w:val="none"/>
        </w:rPr>
        <w:t>条件承诺书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240" w:lineRule="auto"/>
        <w:ind w:firstLine="0"/>
        <w:jc w:val="left"/>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公告之日起至</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截止时间前）</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18"/>
          <w:szCs w:val="18"/>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成都双流国际机场航站楼招商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（姓名）向贵司了解相关信息和购买</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spacing w:line="360" w:lineRule="auto"/>
        <w:ind w:firstLine="420"/>
        <w:outlineLvl w:val="3"/>
        <w:rPr>
          <w:rFonts w:ascii="宋体" w:eastAsia="宋体" w:hAnsi="宋体" w:cs="宋体" w:hint="eastAsia"/>
          <w:color w:val="auto"/>
          <w:sz w:val="21"/>
          <w:szCs w:val="21"/>
          <w:highlight w:val="none"/>
          <w:lang w:eastAsia="zh-CN"/>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w:t>
      </w:r>
      <w:r>
        <w:rPr>
          <w:rFonts w:ascii="宋体" w:hAnsi="宋体" w:cs="宋体" w:hint="eastAsia"/>
          <w:color w:val="auto"/>
          <w:kern w:val="0"/>
          <w:sz w:val="21"/>
          <w:szCs w:val="21"/>
          <w:highlight w:val="none"/>
          <w:lang w:val="en-US" w:eastAsia="zh-CN" w:bidi="ar-SA"/>
        </w:rPr>
        <w:t>特殊消费场所</w:t>
      </w:r>
      <w:r>
        <w:rPr>
          <w:rFonts w:ascii="宋体" w:eastAsia="宋体" w:hAnsi="宋体" w:cs="宋体" w:hint="eastAsia"/>
          <w:color w:val="auto"/>
          <w:kern w:val="0"/>
          <w:sz w:val="21"/>
          <w:szCs w:val="21"/>
          <w:highlight w:val="none"/>
          <w:lang w:val="en-US" w:eastAsia="zh-CN" w:bidi="ar-SA"/>
        </w:rPr>
        <w:t>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lang w:eastAsia="zh-CN"/>
        </w:rPr>
        <w:t>成都双流国际机场航站楼</w:t>
      </w:r>
      <w:r>
        <w:rPr>
          <w:rFonts w:ascii="宋体" w:hAnsi="宋体" w:cs="宋体" w:hint="eastAsia"/>
          <w:color w:val="auto"/>
          <w:szCs w:val="21"/>
          <w:highlight w:val="none"/>
          <w:lang w:val="en-US" w:eastAsia="zh-CN"/>
        </w:rPr>
        <w:t>招商</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Times New Roman" w:hint="eastAsia"/>
          <w:color w:val="auto"/>
          <w:kern w:val="0"/>
          <w:sz w:val="21"/>
          <w:szCs w:val="20"/>
          <w:highlight w:val="none"/>
          <w:lang w:val="en-US" w:eastAsia="zh-CN" w:bidi="ar-SA"/>
        </w:rPr>
        <w:t>，</w:t>
      </w:r>
      <w:r>
        <w:rPr>
          <w:rFonts w:ascii="宋体" w:eastAsia="宋体" w:hAnsi="宋体" w:cs="Times New Roman" w:hint="eastAsia"/>
          <w:color w:val="auto"/>
          <w:kern w:val="0"/>
          <w:sz w:val="21"/>
          <w:szCs w:val="20"/>
          <w:highlight w:val="none"/>
          <w:lang w:val="en-US" w:eastAsia="zh-CN" w:bidi="ar-SA"/>
        </w:rPr>
        <w:t>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kern w:val="0"/>
          <w:sz w:val="21"/>
          <w:szCs w:val="21"/>
          <w:highlight w:val="none"/>
          <w:lang w:val="en-US" w:eastAsia="zh-CN" w:bidi="ar-SA"/>
        </w:rPr>
      </w:pPr>
      <w:r>
        <w:rPr>
          <w:rFonts w:asciiTheme="minorEastAsia" w:eastAsiaTheme="minorEastAsia" w:hAnsiTheme="minorEastAsia" w:cstheme="minorEastAsia" w:hint="eastAsia"/>
          <w:color w:val="auto"/>
          <w:highlight w:val="none"/>
        </w:rPr>
        <w:t>□</w:t>
      </w:r>
      <w:r>
        <w:rPr>
          <w:rFonts w:ascii="宋体" w:hAnsi="宋体" w:cs="宋体" w:hint="eastAsia"/>
          <w:color w:val="auto"/>
          <w:szCs w:val="21"/>
          <w:highlight w:val="none"/>
        </w:rPr>
        <w:t>若成都市</w:t>
      </w:r>
      <w:r>
        <w:rPr>
          <w:rFonts w:ascii="宋体" w:hAnsi="宋体" w:cs="宋体" w:hint="eastAsia"/>
          <w:color w:val="auto"/>
          <w:szCs w:val="21"/>
          <w:highlight w:val="none"/>
          <w:lang w:val="en-US" w:eastAsia="zh-CN"/>
        </w:rPr>
        <w:t>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标段投报的品牌</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省会城市或直辖市的同品牌进行对标</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w:t>
      </w:r>
      <w:r>
        <w:rPr>
          <w:rFonts w:ascii="宋体" w:hAnsi="宋体" w:cs="宋体" w:hint="eastAsia"/>
          <w:color w:val="auto"/>
          <w:szCs w:val="21"/>
          <w:highlight w:val="none"/>
          <w:lang w:val="en-US" w:eastAsia="zh-CN"/>
        </w:rPr>
        <w:t>游乐园、</w:t>
      </w:r>
      <w:r>
        <w:rPr>
          <w:rFonts w:ascii="宋体" w:hAnsi="宋体" w:cs="宋体" w:hint="eastAsia"/>
          <w:color w:val="auto"/>
          <w:kern w:val="0"/>
          <w:sz w:val="21"/>
          <w:szCs w:val="21"/>
          <w:highlight w:val="none"/>
          <w:lang w:val="en-US" w:eastAsia="zh-CN" w:bidi="ar-SA"/>
        </w:rPr>
        <w:t>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w:t>
      </w:r>
      <w:r>
        <w:rPr>
          <w:rFonts w:ascii="宋体" w:hAnsi="宋体" w:cs="宋体" w:hint="eastAsia"/>
          <w:color w:val="auto"/>
          <w:kern w:val="0"/>
          <w:sz w:val="21"/>
          <w:szCs w:val="21"/>
          <w:highlight w:val="none"/>
          <w:lang w:val="en-US" w:eastAsia="zh-CN" w:bidi="ar-SA"/>
        </w:rPr>
        <w:t>。</w:t>
      </w:r>
    </w:p>
    <w:p>
      <w:pPr>
        <w:shd w:val="clear" w:color="auto" w:fill="auto"/>
        <w:spacing w:line="360" w:lineRule="auto"/>
        <w:ind w:firstLine="422"/>
        <w:rPr>
          <w:rFonts w:hint="eastAsia"/>
        </w:rPr>
      </w:pPr>
      <w:r>
        <w:rPr>
          <w:rFonts w:asciiTheme="minorEastAsia" w:eastAsiaTheme="minorEastAsia" w:hAnsiTheme="minorEastAsia" w:cstheme="minorEastAsia" w:hint="eastAsia"/>
          <w:b/>
          <w:bCs/>
          <w:color w:val="auto"/>
          <w:highlight w:val="none"/>
        </w:rPr>
        <w:t>（二者只能选一划勾）</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年度）经会计师事务所审计的财务报告（至少包含资产负债表、利润表、现金流量表三张主表）复印件，</w:t>
      </w:r>
      <w:r>
        <w:rPr>
          <w:rFonts w:hint="eastAsia"/>
          <w:color w:val="auto"/>
          <w:highlight w:val="none"/>
        </w:rPr>
        <w:t>加盖公章。</w:t>
      </w:r>
      <w:r>
        <w:rPr>
          <w:rFonts w:hint="eastAsia"/>
          <w:color w:val="auto"/>
          <w:highlight w:val="none"/>
          <w:lang w:val="en-US" w:eastAsia="zh-CN"/>
        </w:rPr>
        <w:t>若</w:t>
      </w:r>
      <w:r>
        <w:rPr>
          <w:rFonts w:ascii="宋体" w:hAnsi="宋体" w:cs="宋体" w:hint="eastAsia"/>
          <w:color w:val="auto"/>
          <w:szCs w:val="21"/>
          <w:highlight w:val="none"/>
        </w:rPr>
        <w:t>不全则“</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20</w:t>
      </w:r>
      <w:r>
        <w:rPr>
          <w:rFonts w:ascii="宋体" w:hAnsi="宋体" w:cs="宋体" w:hint="eastAsia"/>
          <w:color w:val="auto"/>
          <w:szCs w:val="21"/>
          <w:highlight w:val="none"/>
          <w:lang w:val="en-US" w:eastAsia="zh-CN"/>
        </w:rPr>
        <w:t>23</w:t>
      </w:r>
      <w:r>
        <w:rPr>
          <w:rFonts w:ascii="宋体" w:hAnsi="宋体" w:cs="宋体" w:hint="eastAsia"/>
          <w:color w:val="auto"/>
          <w:szCs w:val="21"/>
          <w:highlight w:val="none"/>
        </w:rPr>
        <w:t>年度-202</w:t>
      </w:r>
      <w:r>
        <w:rPr>
          <w:rFonts w:ascii="宋体" w:hAnsi="宋体" w:cs="宋体" w:hint="eastAsia"/>
          <w:color w:val="auto"/>
          <w:szCs w:val="21"/>
          <w:highlight w:val="none"/>
          <w:lang w:val="en-US" w:eastAsia="zh-CN"/>
        </w:rPr>
        <w:t>5</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连续</w:t>
      </w:r>
      <w:r>
        <w:rPr>
          <w:rFonts w:ascii="宋体" w:hAnsi="宋体" w:cs="宋体" w:hint="eastAsia"/>
          <w:color w:val="auto"/>
          <w:szCs w:val="21"/>
          <w:highlight w:val="none"/>
        </w:rPr>
        <w:t>三年（若2025年度暂未公布，则提供</w:t>
      </w:r>
      <w:r>
        <w:rPr>
          <w:rFonts w:ascii="宋体" w:hAnsi="宋体" w:cs="宋体" w:hint="eastAsia"/>
          <w:color w:val="auto"/>
          <w:szCs w:val="21"/>
          <w:highlight w:val="none"/>
          <w:lang w:val="en-US" w:eastAsia="zh-CN"/>
        </w:rPr>
        <w:t>2022</w:t>
      </w:r>
      <w:r>
        <w:rPr>
          <w:rFonts w:ascii="宋体" w:hAnsi="宋体" w:cs="宋体" w:hint="eastAsia"/>
          <w:color w:val="auto"/>
          <w:szCs w:val="21"/>
          <w:highlight w:val="none"/>
        </w:rPr>
        <w:t>年度</w:t>
      </w:r>
      <w:r>
        <w:rPr>
          <w:rFonts w:ascii="宋体" w:hAnsi="宋体" w:cs="宋体" w:hint="eastAsia"/>
          <w:color w:val="auto"/>
          <w:szCs w:val="21"/>
          <w:highlight w:val="none"/>
          <w:lang w:val="en-US" w:eastAsia="zh-CN"/>
        </w:rPr>
        <w:t>-2024</w:t>
      </w:r>
      <w:r>
        <w:rPr>
          <w:rFonts w:ascii="宋体" w:hAnsi="宋体" w:cs="宋体" w:hint="eastAsia"/>
          <w:color w:val="auto"/>
          <w:szCs w:val="21"/>
          <w:highlight w:val="none"/>
        </w:rPr>
        <w:t>年度）营业收入（RMB）”和“</w:t>
      </w:r>
      <w:r>
        <w:rPr>
          <w:rFonts w:ascii="宋体" w:hAnsi="宋体" w:cs="宋体" w:hint="eastAsia"/>
          <w:color w:val="auto"/>
          <w:szCs w:val="21"/>
          <w:highlight w:val="none"/>
          <w:lang w:eastAsia="zh-CN"/>
        </w:rPr>
        <w:t>响应人</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若响应人成立时间少于该规定年份的，应提供成立以来的经审计的财务报告。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jc w:val="left"/>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2025 年度纳税信用等级证明（若2025年度等级暂未公布，则提供2024年度），加盖公章。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3</w:t>
      </w:r>
      <w:r>
        <w:rPr>
          <w:rFonts w:ascii="宋体" w:hAnsi="宋体" w:cs="宋体" w:hint="eastAsia"/>
          <w:color w:val="auto"/>
          <w:kern w:val="0"/>
          <w:szCs w:val="21"/>
          <w:highlight w:val="none"/>
          <w:lang w:eastAsia="zh-CN"/>
        </w:rPr>
        <w:t>-202</w:t>
      </w:r>
      <w:r>
        <w:rPr>
          <w:rFonts w:ascii="宋体" w:hAnsi="宋体" w:cs="宋体" w:hint="eastAsia"/>
          <w:color w:val="auto"/>
          <w:kern w:val="0"/>
          <w:szCs w:val="21"/>
          <w:highlight w:val="none"/>
          <w:lang w:val="en-US" w:eastAsia="zh-CN"/>
        </w:rPr>
        <w:t>5</w:t>
      </w:r>
      <w:r>
        <w:rPr>
          <w:rFonts w:ascii="宋体" w:hAnsi="宋体" w:cs="宋体" w:hint="eastAsia"/>
          <w:color w:val="auto"/>
          <w:kern w:val="0"/>
          <w:szCs w:val="21"/>
          <w:highlight w:val="none"/>
          <w:lang w:eastAsia="zh-CN"/>
        </w:rPr>
        <w:t>年</w:t>
      </w:r>
      <w:r>
        <w:rPr>
          <w:rFonts w:ascii="宋体" w:hAnsi="宋体" w:cs="宋体" w:hint="eastAsia"/>
          <w:color w:val="auto"/>
          <w:kern w:val="0"/>
          <w:szCs w:val="21"/>
          <w:highlight w:val="none"/>
        </w:rPr>
        <w:t>期间任意一年1500万人次及以上机场有：上海/浦东、广州/白云、北京/首都、深圳/宝安、成都/天府、北京/大兴、杭州/萧山、上海/虹桥、重庆/江北、昆明/长水、西安/咸阳、成都/双流、南京/禄口、武汉/天河、长沙/黄花、厦门/高崎、郑州/新郑、乌鲁木齐/地窝堡、青岛/胶东、海口/美兰、沈阳/桃仙、哈尔滨/太平、贵阳/龙洞堡、三亚/凤凰、济南/遥墙、天津/滨海、大连/周水子、长春/龙嘉</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rPr>
        <w:t>兰州/中川、</w:t>
      </w:r>
      <w:r>
        <w:rPr>
          <w:rFonts w:ascii="宋体" w:hAnsi="宋体" w:cs="宋体" w:hint="eastAsia"/>
          <w:color w:val="auto"/>
          <w:kern w:val="0"/>
          <w:szCs w:val="21"/>
          <w:highlight w:val="none"/>
          <w:lang w:val="en-US" w:eastAsia="zh-CN"/>
        </w:rPr>
        <w:t>福州长乐</w:t>
      </w:r>
      <w:r>
        <w:rPr>
          <w:rFonts w:ascii="宋体" w:hAnsi="宋体" w:cs="宋体" w:hint="eastAsia"/>
          <w:color w:val="auto"/>
          <w:kern w:val="0"/>
          <w:szCs w:val="21"/>
          <w:highlight w:val="none"/>
        </w:rPr>
        <w:t>。</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cs="Calibri" w:hint="eastAsia"/>
          <w:color w:val="auto"/>
          <w:szCs w:val="21"/>
          <w:highlight w:val="none"/>
          <w:lang w:val="en-US" w:eastAsia="zh-CN"/>
        </w:rPr>
        <w:t>③</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宋体" w:hAnsi="宋体" w:cs="宋体" w:hint="eastAsia"/>
                <w:color w:val="auto"/>
                <w:szCs w:val="21"/>
                <w:highlight w:val="none"/>
              </w:rPr>
            </w:pPr>
            <w:r>
              <w:rPr>
                <w:rFonts w:hint="eastAsia"/>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2026年4月30日，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b/>
                <w:bCs/>
                <w:color w:val="auto"/>
                <w:szCs w:val="21"/>
                <w:highlight w:val="none"/>
                <w:u w:val="single"/>
                <w:lang w:val="en-US" w:eastAsia="zh-CN"/>
              </w:rPr>
              <w:t xml:space="preserve">    </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人提供其本身及分子公司在近三年中国旅客吞吐量1500万人次以上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val="0"/>
          <w:bCs w:val="0"/>
          <w:color w:val="auto"/>
          <w:szCs w:val="21"/>
          <w:highlight w:val="none"/>
          <w:lang w:val="en-US" w:eastAsia="zh-CN"/>
        </w:rPr>
        <w:t>，</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①</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人及其分子公司在营店面数量按照</w:t>
      </w:r>
      <w:r>
        <w:rPr>
          <w:rFonts w:ascii="宋体" w:hAnsi="宋体" w:cs="宋体" w:hint="eastAsia"/>
          <w:b w:val="0"/>
          <w:bCs w:val="0"/>
          <w:color w:val="auto"/>
          <w:kern w:val="0"/>
          <w:szCs w:val="21"/>
          <w:highlight w:val="none"/>
          <w:lang w:eastAsia="zh-CN"/>
        </w:rPr>
        <w:t>2026年4月30日</w:t>
      </w:r>
      <w:r>
        <w:rPr>
          <w:rFonts w:ascii="宋体" w:eastAsia="宋体" w:hAnsi="宋体" w:cs="宋体" w:hint="eastAsia"/>
          <w:color w:val="auto"/>
          <w:kern w:val="0"/>
          <w:szCs w:val="21"/>
          <w:highlight w:val="none"/>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rPr>
      </w:pPr>
      <w:r>
        <w:rPr>
          <w:rFonts w:ascii="宋体" w:eastAsia="宋体" w:hAnsi="宋体" w:cs="宋体" w:hint="eastAsia"/>
          <w:color w:val="auto"/>
          <w:kern w:val="0"/>
          <w:szCs w:val="21"/>
          <w:highlight w:val="none"/>
        </w:rPr>
        <w:t>②</w:t>
      </w:r>
      <w:r>
        <w:rPr>
          <w:rFonts w:ascii="宋体" w:hAnsi="宋体" w:cs="宋体" w:hint="eastAsia"/>
          <w:color w:val="auto"/>
          <w:kern w:val="0"/>
          <w:szCs w:val="21"/>
          <w:highlight w:val="none"/>
          <w:lang w:eastAsia="zh-CN"/>
        </w:rPr>
        <w:t>响应</w:t>
      </w:r>
      <w:r>
        <w:rPr>
          <w:rFonts w:ascii="宋体" w:eastAsia="宋体" w:hAnsi="宋体" w:cs="宋体" w:hint="eastAsia"/>
          <w:color w:val="auto"/>
          <w:kern w:val="0"/>
          <w:szCs w:val="21"/>
          <w:highlight w:val="none"/>
        </w:rPr>
        <w:t>人需据实填写此表，证明材料需附表后，</w:t>
      </w:r>
      <w:r>
        <w:rPr>
          <w:rFonts w:ascii="宋体" w:eastAsia="宋体" w:hAnsi="宋体" w:cs="宋体" w:hint="eastAsia"/>
          <w:b w:val="0"/>
          <w:bCs w:val="0"/>
          <w:color w:val="auto"/>
          <w:kern w:val="0"/>
          <w:szCs w:val="21"/>
          <w:highlight w:val="none"/>
        </w:rPr>
        <w:t>若被认定存在造假行为，</w:t>
      </w:r>
      <w:r>
        <w:rPr>
          <w:rFonts w:ascii="宋体" w:hAnsi="宋体" w:cs="宋体" w:hint="eastAsia"/>
          <w:b w:val="0"/>
          <w:bCs w:val="0"/>
          <w:color w:val="auto"/>
          <w:kern w:val="0"/>
          <w:szCs w:val="21"/>
          <w:highlight w:val="none"/>
          <w:lang w:eastAsia="zh-CN"/>
        </w:rPr>
        <w:t>响应</w:t>
      </w:r>
      <w:r>
        <w:rPr>
          <w:rFonts w:ascii="宋体" w:eastAsia="宋体" w:hAnsi="宋体" w:cs="宋体" w:hint="eastAsia"/>
          <w:b w:val="0"/>
          <w:bCs w:val="0"/>
          <w:color w:val="auto"/>
          <w:kern w:val="0"/>
          <w:szCs w:val="21"/>
          <w:highlight w:val="none"/>
        </w:rPr>
        <w:t>人将被予以否决</w:t>
      </w:r>
      <w:r>
        <w:rPr>
          <w:rFonts w:ascii="宋体" w:hAnsi="宋体" w:cs="宋体" w:hint="eastAsia"/>
          <w:b w:val="0"/>
          <w:bCs w:val="0"/>
          <w:color w:val="auto"/>
          <w:kern w:val="0"/>
          <w:szCs w:val="21"/>
          <w:highlight w:val="none"/>
          <w:lang w:eastAsia="zh-CN"/>
        </w:rPr>
        <w:t>响应</w:t>
      </w:r>
      <w:r>
        <w:rPr>
          <w:rFonts w:ascii="宋体" w:eastAsia="宋体" w:hAnsi="宋体" w:cs="宋体" w:hint="eastAsia"/>
          <w:color w:val="auto"/>
          <w:kern w:val="0"/>
          <w:szCs w:val="21"/>
          <w:highlight w:val="none"/>
        </w:rPr>
        <w:t>。</w:t>
      </w:r>
    </w:p>
    <w:p>
      <w:pPr>
        <w:spacing w:line="360" w:lineRule="auto"/>
        <w:ind w:firstLine="420"/>
        <w:outlineLvl w:val="9"/>
        <w:rPr>
          <w:rFonts w:ascii="宋体" w:eastAsia="宋体" w:hAnsi="宋体" w:cs="宋体" w:hint="eastAsia"/>
          <w:color w:val="auto"/>
          <w:kern w:val="0"/>
          <w:szCs w:val="21"/>
          <w:highlight w:val="none"/>
        </w:rPr>
      </w:pPr>
      <w:r>
        <w:rPr>
          <w:rFonts w:ascii="宋体" w:hAnsi="宋体" w:cs="宋体" w:hint="eastAsia"/>
          <w:color w:val="auto"/>
          <w:kern w:val="0"/>
          <w:szCs w:val="21"/>
          <w:highlight w:val="none"/>
        </w:rPr>
        <w:t>③</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Calibri" w:eastAsia="宋体" w:hAnsi="Calibri" w:cs="Times New Roman" w:hint="eastAsia"/>
                <w:b w:val="0"/>
                <w:bCs w:val="0"/>
                <w:color w:val="auto"/>
                <w:kern w:val="2"/>
                <w:sz w:val="21"/>
                <w:szCs w:val="21"/>
                <w:highlight w:val="none"/>
                <w:lang w:val="en-US" w:eastAsia="zh-CN" w:bidi="ar-SA"/>
              </w:rPr>
            </w:pPr>
            <w:r>
              <w:rPr>
                <w:rFonts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2026年4月30日，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pStyle w:val="a"/>
        <w:rPr>
          <w:color w:val="auto"/>
          <w:highlight w:val="none"/>
        </w:rPr>
      </w:pPr>
    </w:p>
    <w:p>
      <w:pPr>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rPr>
        <w:br w:type="page"/>
      </w: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3.2.2</w:t>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val="en-US" w:eastAsia="zh-CN"/>
        </w:rPr>
        <w:t>等，</w:t>
      </w:r>
      <w:r>
        <w:rPr>
          <w:rFonts w:ascii="宋体" w:hAnsi="宋体" w:cs="宋体" w:hint="eastAsia"/>
          <w:b/>
          <w:bCs/>
          <w:color w:val="auto"/>
          <w:szCs w:val="21"/>
          <w:highlight w:val="none"/>
          <w:lang w:val="en-US" w:eastAsia="zh-CN"/>
        </w:rPr>
        <w:t>特别提醒：合同复印件须体现经营期限，业主方证明不得早于2026年4月30日</w:t>
      </w:r>
      <w:r>
        <w:rPr>
          <w:rFonts w:ascii="宋体" w:hAnsi="宋体" w:cs="宋体" w:hint="eastAsia"/>
          <w:b w:val="0"/>
          <w:bCs w:val="0"/>
          <w:color w:val="auto"/>
          <w:szCs w:val="21"/>
          <w:highlight w:val="none"/>
          <w:lang w:eastAsia="zh-CN"/>
        </w:rPr>
        <w:t>）</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响应人</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kern w:val="0"/>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r>
        <w:rPr>
          <w:rFonts w:ascii="宋体" w:hAnsi="宋体" w:cs="宋体" w:hint="eastAsia"/>
          <w:color w:val="auto"/>
          <w:szCs w:val="21"/>
          <w:highlight w:val="none"/>
          <w:lang w:eastAsia="zh-CN"/>
        </w:rPr>
        <w:t>202</w:t>
      </w:r>
      <w:r>
        <w:rPr>
          <w:rFonts w:ascii="宋体" w:hAnsi="宋体" w:cs="宋体" w:hint="eastAsia"/>
          <w:color w:val="auto"/>
          <w:szCs w:val="21"/>
          <w:highlight w:val="none"/>
          <w:lang w:val="en-US" w:eastAsia="zh-CN"/>
        </w:rPr>
        <w:t>3至今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numPr>
          <w:ilvl w:val="0"/>
          <w:numId w:val="0"/>
        </w:numPr>
        <w:spacing w:line="360" w:lineRule="auto"/>
        <w:outlineLvl w:val="2"/>
        <w:rPr>
          <w:rFonts w:ascii="宋体" w:hAnsi="宋体" w:cs="宋体" w:hint="eastAsia"/>
          <w:b/>
          <w:bCs/>
          <w:color w:val="auto"/>
          <w:szCs w:val="21"/>
          <w:highlight w:val="none"/>
        </w:rPr>
      </w:pPr>
      <w:r>
        <w:rPr>
          <w:rFonts w:ascii="宋体" w:eastAsia="宋体" w:hAnsi="宋体" w:cs="宋体" w:hint="eastAsia"/>
          <w:b/>
          <w:bCs/>
          <w:color w:val="auto"/>
          <w:kern w:val="2"/>
          <w:sz w:val="21"/>
          <w:szCs w:val="21"/>
          <w:highlight w:val="none"/>
          <w:lang w:val="en-US" w:eastAsia="zh-CN" w:bidi="ar-SA"/>
        </w:rPr>
        <w:t>4.</w:t>
      </w:r>
      <w:r>
        <w:rPr>
          <w:rFonts w:ascii="宋体" w:hAnsi="宋体" w:cs="宋体" w:hint="eastAsia"/>
          <w:b/>
          <w:bCs/>
          <w:color w:val="auto"/>
          <w:szCs w:val="21"/>
          <w:highlight w:val="none"/>
        </w:rPr>
        <w:t>经营方案</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w:t>
      </w:r>
      <w:r>
        <w:rPr>
          <w:rFonts w:asciiTheme="minorEastAsia" w:eastAsiaTheme="minorEastAsia" w:hAnsiTheme="minorEastAsia" w:cstheme="minorEastAsia" w:hint="default"/>
          <w:color w:val="auto"/>
          <w:szCs w:val="21"/>
          <w:highlight w:val="none"/>
        </w:rPr>
        <w:t>1</w:t>
      </w:r>
      <w:r>
        <w:rPr>
          <w:rFonts w:asciiTheme="minorEastAsia" w:eastAsiaTheme="minorEastAsia" w:hAnsiTheme="minorEastAsia" w:cstheme="minorEastAsia" w:hint="eastAsia"/>
          <w:color w:val="auto"/>
          <w:szCs w:val="21"/>
          <w:highlight w:val="none"/>
          <w:lang w:eastAsia="zh-CN"/>
        </w:rPr>
        <w:t>响应</w:t>
      </w:r>
      <w:r>
        <w:rPr>
          <w:rFonts w:asciiTheme="minorEastAsia" w:eastAsiaTheme="minorEastAsia" w:hAnsiTheme="minorEastAsia" w:cstheme="minorEastAsia" w:hint="eastAsia"/>
          <w:color w:val="auto"/>
          <w:szCs w:val="21"/>
          <w:highlight w:val="none"/>
        </w:rPr>
        <w:t>人经营模式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经营模式承诺书格式：</w:t>
      </w:r>
    </w:p>
    <w:p>
      <w:pPr>
        <w:pStyle w:val="a"/>
        <w:shd w:val="clear" w:color="auto" w:fill="auto"/>
        <w:spacing w:line="360" w:lineRule="auto"/>
        <w:rPr>
          <w:rFonts w:asciiTheme="minorEastAsia" w:eastAsiaTheme="minorEastAsia" w:hAnsiTheme="minorEastAsia" w:cstheme="minorEastAsia" w:hint="eastAsia"/>
          <w:color w:val="auto"/>
          <w:sz w:val="21"/>
          <w:szCs w:val="21"/>
          <w:highlight w:val="none"/>
        </w:rPr>
      </w:pP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经营模式承诺书</w:t>
      </w:r>
    </w:p>
    <w:p>
      <w:pPr>
        <w:shd w:val="clear" w:color="auto" w:fill="auto"/>
        <w:spacing w:line="360" w:lineRule="auto"/>
        <w:rPr>
          <w:rFonts w:asciiTheme="minorEastAsia" w:eastAsiaTheme="minorEastAsia" w:hAnsiTheme="minorEastAsia" w:cstheme="minorEastAsia" w:hint="eastAsia"/>
          <w:color w:val="auto"/>
          <w:szCs w:val="21"/>
          <w:highlight w:val="none"/>
        </w:rPr>
      </w:pP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我公司意向经营航站楼商业场地（标段号_________, 面积____平方米）</w:t>
      </w:r>
      <w:r>
        <w:rPr>
          <w:rFonts w:asciiTheme="minorEastAsia" w:eastAsiaTheme="minorEastAsia" w:hAnsiTheme="minorEastAsia" w:cstheme="minorEastAsia" w:hint="eastAsia"/>
          <w:color w:val="auto"/>
          <w:highlight w:val="none"/>
          <w:lang w:eastAsia="zh-CN"/>
        </w:rPr>
        <w:t>，</w:t>
      </w:r>
      <w:r>
        <w:rPr>
          <w:rFonts w:asciiTheme="minorEastAsia" w:eastAsiaTheme="minorEastAsia" w:hAnsiTheme="minorEastAsia" w:cstheme="minorEastAsia" w:hint="eastAsia"/>
          <w:color w:val="auto"/>
          <w:highlight w:val="none"/>
          <w:lang w:val="en-US" w:eastAsia="zh-CN"/>
        </w:rPr>
        <w:t xml:space="preserve">经营品牌 </w:t>
      </w:r>
      <w:r>
        <w:rPr>
          <w:rFonts w:asciiTheme="minorEastAsia" w:eastAsiaTheme="minorEastAsia" w:hAnsiTheme="minorEastAsia" w:cstheme="minorEastAsia" w:hint="eastAsia"/>
          <w:color w:val="auto"/>
          <w:highlight w:val="none"/>
        </w:rPr>
        <w:t>_________，现向贵司郑重承诺：</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□品牌直营</w:t>
      </w:r>
    </w:p>
    <w:p>
      <w:pPr>
        <w:shd w:val="clear" w:color="auto" w:fill="auto"/>
        <w:spacing w:line="360" w:lineRule="auto"/>
        <w:ind w:firstLine="420"/>
        <w:rPr>
          <w:rFonts w:asciiTheme="minorEastAsia" w:eastAsiaTheme="minorEastAsia" w:hAnsiTheme="minorEastAsia" w:cstheme="minorEastAsia" w:hint="eastAsia"/>
          <w:color w:val="auto"/>
          <w:highlight w:val="none"/>
          <w:u w:val="single"/>
        </w:rPr>
      </w:pPr>
      <w:r>
        <w:rPr>
          <w:rFonts w:asciiTheme="minorEastAsia" w:eastAsiaTheme="minorEastAsia" w:hAnsiTheme="minorEastAsia" w:cstheme="minorEastAsia" w:hint="eastAsia"/>
          <w:color w:val="auto"/>
          <w:highlight w:val="none"/>
        </w:rPr>
        <w:t>□加盟代理经营</w:t>
      </w:r>
    </w:p>
    <w:p>
      <w:pPr>
        <w:shd w:val="clear" w:color="auto" w:fill="auto"/>
        <w:spacing w:line="360" w:lineRule="auto"/>
        <w:ind w:firstLine="422"/>
        <w:rPr>
          <w:rFonts w:asciiTheme="minorEastAsia" w:eastAsiaTheme="minorEastAsia" w:hAnsiTheme="minorEastAsia" w:cstheme="minorEastAsia" w:hint="eastAsia"/>
          <w:b/>
          <w:bCs/>
          <w:color w:val="auto"/>
          <w:highlight w:val="none"/>
        </w:rPr>
      </w:pPr>
      <w:r>
        <w:rPr>
          <w:rFonts w:asciiTheme="minorEastAsia" w:eastAsiaTheme="minorEastAsia" w:hAnsiTheme="minorEastAsia" w:cstheme="minorEastAsia" w:hint="eastAsia"/>
          <w:b/>
          <w:bCs/>
          <w:color w:val="auto"/>
          <w:highlight w:val="none"/>
        </w:rPr>
        <w:t>（二者只能选一划勾）</w:t>
      </w:r>
    </w:p>
    <w:p>
      <w:pPr>
        <w:shd w:val="clear" w:color="auto" w:fill="auto"/>
        <w:spacing w:line="360" w:lineRule="auto"/>
        <w:ind w:firstLine="420"/>
        <w:rPr>
          <w:rFonts w:asciiTheme="minorEastAsia" w:eastAsiaTheme="minorEastAsia" w:hAnsiTheme="minorEastAsia" w:cstheme="minorEastAsia" w:hint="eastAsia"/>
          <w:color w:val="auto"/>
          <w:highlight w:val="none"/>
        </w:rPr>
      </w:pPr>
      <w:r>
        <w:rPr>
          <w:rFonts w:asciiTheme="minorEastAsia" w:eastAsiaTheme="minorEastAsia" w:hAnsiTheme="minorEastAsia" w:cstheme="minorEastAsia" w:hint="eastAsia"/>
          <w:color w:val="auto"/>
          <w:highlight w:val="none"/>
        </w:rPr>
        <w:t>因品牌、服务质量等问题引发的法律责任由我公司完全承担。</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p>
    <w:p>
      <w:pPr>
        <w:pStyle w:val="a"/>
        <w:shd w:val="clear" w:color="auto" w:fill="auto"/>
        <w:spacing w:line="360" w:lineRule="auto"/>
        <w:ind w:left="420"/>
        <w:rPr>
          <w:rFonts w:asciiTheme="minorEastAsia" w:eastAsiaTheme="minorEastAsia" w:hAnsiTheme="minorEastAsia" w:cstheme="minorEastAsia" w:hint="eastAsia"/>
          <w:color w:val="auto"/>
          <w:sz w:val="21"/>
          <w:szCs w:val="21"/>
          <w:highlight w:val="none"/>
        </w:rPr>
      </w:pPr>
      <w:r>
        <w:rPr>
          <w:rFonts w:asciiTheme="minorEastAsia" w:eastAsiaTheme="minorEastAsia" w:hAnsiTheme="minorEastAsia" w:cstheme="minorEastAsia" w:hint="eastAsia"/>
          <w:color w:val="auto"/>
          <w:sz w:val="21"/>
          <w:szCs w:val="21"/>
          <w:highlight w:val="none"/>
        </w:rPr>
        <w:t xml:space="preserve">                                  承诺单位：</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 w:val="21"/>
          <w:szCs w:val="21"/>
          <w:highlight w:val="none"/>
          <w:lang w:eastAsia="zh-CN"/>
        </w:rPr>
        <w:t>加盖公章</w:t>
      </w:r>
      <w:r>
        <w:rPr>
          <w:rFonts w:asciiTheme="minorEastAsia" w:eastAsiaTheme="minorEastAsia" w:hAnsiTheme="minorEastAsia" w:cstheme="minorEastAsia" w:hint="eastAsia"/>
          <w:color w:val="auto"/>
          <w:szCs w:val="21"/>
          <w:highlight w:val="none"/>
        </w:rPr>
        <w:t>）</w:t>
      </w:r>
    </w:p>
    <w:p>
      <w:pPr>
        <w:shd w:val="clear" w:color="auto" w:fill="auto"/>
        <w:spacing w:line="360" w:lineRule="auto"/>
        <w:ind w:firstLine="315"/>
        <w:jc w:val="left"/>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日期：</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年</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月</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日</w:t>
      </w: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rPr>
          <w:rFonts w:asciiTheme="minorEastAsia" w:eastAsiaTheme="minorEastAsia" w:hAnsiTheme="minorEastAsia" w:cstheme="minorEastAsia" w:hint="eastAsia"/>
          <w:color w:val="auto"/>
          <w:highlight w:val="none"/>
        </w:rPr>
      </w:pPr>
    </w:p>
    <w:p>
      <w:pPr>
        <w:pStyle w:val="a"/>
        <w:shd w:val="clear" w:color="auto" w:fill="auto"/>
        <w:spacing w:line="360" w:lineRule="auto"/>
        <w:ind w:firstLine="1050"/>
        <w:rPr>
          <w:rFonts w:asciiTheme="minorEastAsia" w:eastAsiaTheme="minorEastAsia" w:hAnsiTheme="minorEastAsia" w:cstheme="minorEastAsia" w:hint="eastAsia"/>
          <w:color w:val="auto"/>
          <w:sz w:val="21"/>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ind w:firstLine="422"/>
        <w:rPr>
          <w:rFonts w:ascii="宋体" w:hAnsi="宋体" w:cs="宋体" w:hint="eastAsia"/>
          <w:b/>
          <w:bCs/>
          <w:color w:val="auto"/>
          <w:kern w:val="2"/>
          <w:szCs w:val="21"/>
          <w:highlight w:val="none"/>
          <w:lang w:val="en-US" w:eastAsia="zh-CN"/>
        </w:rPr>
      </w:pPr>
      <w:r>
        <w:rPr>
          <w:rFonts w:ascii="宋体" w:hAnsi="宋体" w:cs="宋体" w:hint="eastAsia"/>
          <w:b/>
          <w:bCs/>
          <w:color w:val="auto"/>
          <w:szCs w:val="21"/>
          <w:highlight w:val="none"/>
          <w:lang w:val="en-US" w:eastAsia="zh-CN"/>
        </w:rPr>
        <w:t>注：标段内</w:t>
      </w:r>
      <w:r>
        <w:rPr>
          <w:rFonts w:ascii="宋体" w:hAnsi="宋体" w:cs="宋体" w:hint="eastAsia"/>
          <w:b/>
          <w:bCs/>
          <w:color w:val="auto"/>
          <w:kern w:val="2"/>
          <w:szCs w:val="21"/>
          <w:highlight w:val="none"/>
          <w:lang w:val="en-US" w:eastAsia="zh-CN"/>
        </w:rPr>
        <w:t>全部经营品牌均为市区连锁</w:t>
      </w:r>
      <w:r>
        <w:rPr>
          <w:rFonts w:ascii="宋体" w:hAnsi="宋体" w:cs="宋体" w:hint="eastAsia"/>
          <w:b/>
          <w:bCs/>
          <w:color w:val="auto"/>
          <w:kern w:val="2"/>
          <w:szCs w:val="21"/>
          <w:highlight w:val="none"/>
        </w:rPr>
        <w:t>品牌直营</w:t>
      </w:r>
      <w:r>
        <w:rPr>
          <w:rFonts w:ascii="宋体" w:hAnsi="宋体" w:cs="宋体" w:hint="eastAsia"/>
          <w:b/>
          <w:bCs/>
          <w:color w:val="auto"/>
          <w:kern w:val="2"/>
          <w:szCs w:val="21"/>
          <w:highlight w:val="none"/>
          <w:lang w:val="en-US" w:eastAsia="zh-CN"/>
        </w:rPr>
        <w:t>可勾选品牌直营；</w:t>
      </w:r>
    </w:p>
    <w:p>
      <w:pPr>
        <w:spacing w:line="360" w:lineRule="auto"/>
        <w:ind w:firstLine="422"/>
        <w:rPr>
          <w:rFonts w:ascii="宋体" w:eastAsia="宋体" w:hAnsi="宋体" w:cs="宋体" w:hint="eastAsia"/>
          <w:b/>
          <w:bCs/>
          <w:color w:val="auto"/>
          <w:szCs w:val="21"/>
          <w:highlight w:val="none"/>
          <w:lang w:val="en-US" w:eastAsia="zh-CN"/>
        </w:rPr>
      </w:pPr>
      <w:r>
        <w:rPr>
          <w:rFonts w:ascii="宋体" w:hAnsi="宋体" w:cs="宋体" w:hint="eastAsia"/>
          <w:b/>
          <w:bCs/>
          <w:color w:val="auto"/>
          <w:kern w:val="2"/>
          <w:szCs w:val="21"/>
          <w:highlight w:val="none"/>
          <w:lang w:val="en-US" w:eastAsia="zh-CN"/>
        </w:rPr>
        <w:t>其他情况可以分品牌做经营模式说明，但均勾选加盟代理经营</w:t>
      </w:r>
      <w:r>
        <w:rPr>
          <w:rFonts w:ascii="宋体" w:hAnsi="宋体" w:cs="宋体" w:hint="eastAsia"/>
          <w:b/>
          <w:bCs/>
          <w:color w:val="auto"/>
          <w:kern w:val="2"/>
          <w:szCs w:val="21"/>
          <w:highlight w:val="none"/>
        </w:rPr>
        <w:t>。</w:t>
      </w: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widowControl/>
        <w:shd w:val="clear" w:color="auto" w:fill="auto"/>
        <w:jc w:val="left"/>
        <w:rPr>
          <w:rFonts w:asciiTheme="minorEastAsia" w:eastAsiaTheme="minorEastAsia" w:hAnsiTheme="minorEastAsia" w:cstheme="minorEastAsia" w:hint="eastAsia"/>
          <w:color w:val="auto"/>
          <w:szCs w:val="21"/>
          <w:highlight w:val="none"/>
        </w:rPr>
      </w:pPr>
    </w:p>
    <w:p>
      <w:pPr>
        <w:spacing w:line="360" w:lineRule="auto"/>
        <w:rPr>
          <w:rFonts w:ascii="宋体" w:hAnsi="宋体" w:cs="宋体"/>
          <w:color w:val="auto"/>
          <w:szCs w:val="21"/>
          <w:highlight w:val="none"/>
        </w:rPr>
      </w:pPr>
      <w:r>
        <w:rPr>
          <w:rFonts w:asciiTheme="minorEastAsia" w:eastAsiaTheme="minorEastAsia" w:hAnsiTheme="minorEastAsia" w:cstheme="minorEastAsia" w:hint="eastAsia"/>
          <w:color w:val="auto"/>
          <w:szCs w:val="21"/>
          <w:highlight w:val="none"/>
          <w:lang w:val="en-US" w:eastAsia="zh-CN"/>
        </w:rPr>
        <w:t>4</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val="en-US" w:eastAsia="zh-CN"/>
        </w:rPr>
        <w:t>1</w:t>
      </w:r>
      <w:r>
        <w:rPr>
          <w:rFonts w:asciiTheme="minorEastAsia" w:eastAsiaTheme="minorEastAsia" w:hAnsiTheme="minorEastAsia" w:cstheme="minorEastAsia" w:hint="default"/>
          <w:color w:val="auto"/>
          <w:szCs w:val="21"/>
          <w:highlight w:val="none"/>
          <w:lang w:eastAsia="zh-CN"/>
        </w:rPr>
        <w:t>.2</w:t>
      </w:r>
      <w:r>
        <w:rPr>
          <w:rFonts w:ascii="宋体" w:hAnsi="宋体" w:cs="宋体" w:hint="eastAsia"/>
          <w:color w:val="auto"/>
          <w:szCs w:val="21"/>
          <w:highlight w:val="none"/>
        </w:rPr>
        <w:t>品牌权益证明：品牌的商标注册证和品牌授权证明；持有品牌独家经营权或区域独家经营权的，应一并提供相应法律保护文件或授权文件（如非品牌方直接授权，须提供可追溯至品牌方的多级授权文件；上述材料为外国语的还须提供中文译本）。</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品牌授权书格式：如</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人系加盟或代理经营某品牌，须提供该品牌的授权书，既可直接使用品牌公司的授权书格式，也可以参考以下格式。</w:t>
      </w:r>
    </w:p>
    <w:p>
      <w:pPr>
        <w:pStyle w:val="ListParagraph"/>
        <w:spacing w:line="360" w:lineRule="auto"/>
        <w:ind w:firstLine="0"/>
        <w:jc w:val="center"/>
        <w:rPr>
          <w:rFonts w:ascii="宋体" w:hAnsi="宋体" w:cs="宋体"/>
          <w:b/>
          <w:color w:val="auto"/>
          <w:szCs w:val="21"/>
          <w:highlight w:val="none"/>
        </w:rPr>
      </w:pPr>
    </w:p>
    <w:p>
      <w:pPr>
        <w:pStyle w:val="ListParagraph"/>
        <w:spacing w:line="360" w:lineRule="auto"/>
        <w:ind w:firstLine="0"/>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ind w:firstLine="420"/>
        <w:rPr>
          <w:rFonts w:ascii="宋体" w:hAnsi="宋体" w:cs="宋体"/>
          <w:color w:val="auto"/>
          <w:szCs w:val="21"/>
          <w:highlight w:val="none"/>
        </w:rPr>
      </w:pPr>
    </w:p>
    <w:p>
      <w:pPr>
        <w:spacing w:line="360" w:lineRule="auto"/>
        <w:ind w:firstLine="420"/>
        <w:rPr>
          <w:rFonts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hint="eastAsia"/>
          <w:color w:val="auto"/>
          <w:szCs w:val="21"/>
          <w:highlight w:val="none"/>
        </w:rPr>
        <w:t>本公司</w:t>
      </w:r>
      <w:r>
        <w:rPr>
          <w:rFonts w:ascii="宋体" w:hAnsi="宋体" w:cs="宋体"/>
          <w:color w:val="auto"/>
          <w:szCs w:val="21"/>
          <w:highlight w:val="none"/>
          <w:u w:val="single"/>
        </w:rPr>
        <w:t xml:space="preserve">        </w:t>
      </w:r>
      <w:r>
        <w:rPr>
          <w:rFonts w:ascii="宋体" w:hAnsi="宋体" w:cs="宋体" w:hint="eastAsia"/>
          <w:color w:val="auto"/>
          <w:szCs w:val="21"/>
          <w:highlight w:val="none"/>
        </w:rPr>
        <w:t>将</w:t>
      </w:r>
      <w:r>
        <w:rPr>
          <w:rFonts w:ascii="宋体" w:hAnsi="宋体" w:cs="宋体"/>
          <w:color w:val="auto"/>
          <w:szCs w:val="21"/>
          <w:highlight w:val="none"/>
          <w:u w:val="single"/>
        </w:rPr>
        <w:t xml:space="preserve">       </w:t>
      </w:r>
      <w:r>
        <w:rPr>
          <w:rFonts w:ascii="宋体" w:hAnsi="宋体" w:cs="宋体" w:hint="eastAsia"/>
          <w:color w:val="auto"/>
          <w:szCs w:val="21"/>
          <w:highlight w:val="none"/>
        </w:rPr>
        <w:t>品牌授权给</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公司在成都双流国际机场航站楼经营，由该公司参与成都双流国际机场</w:t>
      </w:r>
      <w:r>
        <w:rPr>
          <w:rFonts w:ascii="宋体" w:hAnsi="宋体" w:cs="宋体" w:hint="eastAsia"/>
          <w:color w:val="auto"/>
          <w:szCs w:val="21"/>
          <w:highlight w:val="none"/>
          <w:lang w:eastAsia="zh-CN"/>
        </w:rPr>
        <w:t>航站楼</w:t>
      </w:r>
      <w:r>
        <w:rPr>
          <w:rFonts w:ascii="宋体" w:hAnsi="宋体" w:cs="宋体" w:hint="eastAsia"/>
          <w:color w:val="auto"/>
          <w:szCs w:val="21"/>
          <w:highlight w:val="none"/>
        </w:rPr>
        <w:t>招商</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，并签订经营合同。授权期限自</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起至</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u w:val="single"/>
        </w:rPr>
        <w:t>日</w:t>
      </w:r>
      <w:r>
        <w:rPr>
          <w:rFonts w:ascii="宋体" w:hAnsi="宋体" w:cs="宋体" w:hint="eastAsia"/>
          <w:color w:val="auto"/>
          <w:szCs w:val="21"/>
          <w:highlight w:val="none"/>
        </w:rPr>
        <w:t>止。</w:t>
      </w:r>
    </w:p>
    <w:p>
      <w:pPr>
        <w:pStyle w:val="ListParagraph"/>
        <w:spacing w:line="360" w:lineRule="auto"/>
        <w:ind w:left="420" w:firstLine="0"/>
        <w:rPr>
          <w:rFonts w:ascii="宋体" w:hAnsi="宋体" w:cs="宋体"/>
          <w:color w:val="auto"/>
          <w:szCs w:val="21"/>
          <w:highlight w:val="none"/>
        </w:rPr>
      </w:pPr>
    </w:p>
    <w:p>
      <w:pPr>
        <w:pStyle w:val="ListParagraph"/>
        <w:spacing w:line="360" w:lineRule="auto"/>
        <w:ind w:left="420" w:firstLine="0"/>
        <w:rPr>
          <w:rFonts w:ascii="宋体" w:hAnsi="宋体" w:cs="宋体"/>
          <w:color w:val="auto"/>
          <w:szCs w:val="21"/>
          <w:highlight w:val="none"/>
        </w:rPr>
      </w:pPr>
    </w:p>
    <w:p>
      <w:pPr>
        <w:spacing w:line="360" w:lineRule="auto"/>
        <w:jc w:val="right"/>
        <w:rPr>
          <w:rFonts w:ascii="宋体" w:hAnsi="宋体" w:cs="宋体"/>
          <w:color w:val="auto"/>
          <w:szCs w:val="21"/>
          <w:highlight w:val="none"/>
          <w:u w:val="single"/>
        </w:rPr>
      </w:pPr>
      <w:r>
        <w:rPr>
          <w:rFonts w:ascii="宋体" w:hAnsi="宋体" w:cs="宋体" w:hint="eastAsia"/>
          <w:color w:val="auto"/>
          <w:szCs w:val="21"/>
          <w:highlight w:val="none"/>
        </w:rPr>
        <w:t>委托人：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受托人：</w:t>
      </w:r>
      <w:r>
        <w:rPr>
          <w:rFonts w:ascii="宋体" w:hAnsi="宋体" w:cs="宋体"/>
          <w:color w:val="auto"/>
          <w:szCs w:val="21"/>
          <w:highlight w:val="none"/>
          <w:u w:val="single"/>
        </w:rPr>
        <w:t xml:space="preserve">       </w:t>
      </w:r>
      <w:r>
        <w:rPr>
          <w:rFonts w:ascii="宋体" w:hAnsi="宋体" w:cs="宋体" w:hint="eastAsia"/>
          <w:color w:val="auto"/>
          <w:szCs w:val="21"/>
          <w:highlight w:val="none"/>
        </w:rPr>
        <w:t>（公司盖章）</w:t>
      </w:r>
    </w:p>
    <w:p>
      <w:pPr>
        <w:spacing w:line="360" w:lineRule="auto"/>
        <w:jc w:val="right"/>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color w:val="auto"/>
          <w:szCs w:val="21"/>
          <w:highlight w:val="none"/>
          <w:u w:val="single"/>
        </w:rPr>
        <w:t xml:space="preserve">   </w:t>
      </w:r>
      <w:r>
        <w:rPr>
          <w:rFonts w:ascii="宋体" w:hAnsi="宋体" w:cs="宋体" w:hint="eastAsia"/>
          <w:color w:val="auto"/>
          <w:szCs w:val="21"/>
          <w:highlight w:val="none"/>
        </w:rPr>
        <w:t>年</w:t>
      </w:r>
      <w:r>
        <w:rPr>
          <w:rFonts w:ascii="宋体" w:hAnsi="宋体" w:cs="宋体"/>
          <w:color w:val="auto"/>
          <w:szCs w:val="21"/>
          <w:highlight w:val="none"/>
          <w:u w:val="single"/>
        </w:rPr>
        <w:t xml:space="preserve">   </w:t>
      </w:r>
      <w:r>
        <w:rPr>
          <w:rFonts w:ascii="宋体" w:hAnsi="宋体" w:cs="宋体" w:hint="eastAsia"/>
          <w:color w:val="auto"/>
          <w:szCs w:val="21"/>
          <w:highlight w:val="none"/>
        </w:rPr>
        <w:t>月</w:t>
      </w:r>
      <w:r>
        <w:rPr>
          <w:rFonts w:ascii="宋体" w:hAnsi="宋体" w:cs="宋体"/>
          <w:color w:val="auto"/>
          <w:szCs w:val="21"/>
          <w:highlight w:val="none"/>
          <w:u w:val="single"/>
        </w:rPr>
        <w:t xml:space="preserve">   </w:t>
      </w:r>
      <w:r>
        <w:rPr>
          <w:rFonts w:ascii="宋体" w:hAnsi="宋体" w:cs="宋体" w:hint="eastAsia"/>
          <w:color w:val="auto"/>
          <w:szCs w:val="21"/>
          <w:highlight w:val="none"/>
        </w:rPr>
        <w:t>日</w:t>
      </w:r>
    </w:p>
    <w:p>
      <w:pPr>
        <w:spacing w:line="360" w:lineRule="auto"/>
        <w:ind w:firstLine="422"/>
        <w:rPr>
          <w:rFonts w:ascii="宋体" w:eastAsia="宋体" w:hAnsi="宋体" w:cs="宋体" w:hint="eastAsia"/>
          <w:b/>
          <w:bCs/>
          <w:color w:val="auto"/>
          <w:szCs w:val="21"/>
          <w:highlight w:val="none"/>
          <w:lang w:val="en-US" w:eastAsia="zh-CN"/>
        </w:rPr>
      </w:pPr>
    </w:p>
    <w:p>
      <w:pPr>
        <w:pStyle w:val="a"/>
        <w:rPr>
          <w:color w:val="auto"/>
          <w:highlight w:val="none"/>
        </w:rPr>
      </w:pPr>
    </w:p>
    <w:p>
      <w:pPr>
        <w:rPr>
          <w:color w:val="auto"/>
          <w:highlight w:val="none"/>
        </w:rPr>
      </w:pPr>
      <w:r>
        <w:rPr>
          <w:color w:val="auto"/>
          <w:highlight w:val="none"/>
        </w:rPr>
        <w:br w:type="page"/>
      </w:r>
    </w:p>
    <w:p>
      <w:pPr>
        <w:widowControl/>
        <w:spacing w:line="360" w:lineRule="auto"/>
        <w:ind w:firstLine="420"/>
        <w:jc w:val="left"/>
        <w:outlineLvl w:val="3"/>
        <w:rPr>
          <w:rFonts w:ascii="宋体" w:hAnsi="宋体" w:cs="宋体" w:hint="eastAsia"/>
          <w:color w:val="auto"/>
          <w:szCs w:val="21"/>
          <w:highlight w:val="none"/>
          <w:lang w:val="en-US" w:eastAsia="zh-CN"/>
        </w:rPr>
      </w:pPr>
      <w:bookmarkStart w:id="2" w:name="_Toc27037"/>
      <w:bookmarkStart w:id="3" w:name="_Toc4063"/>
      <w:bookmarkStart w:id="4" w:name="_Toc41558662"/>
      <w:bookmarkStart w:id="5" w:name="_Toc9087"/>
      <w:bookmarkStart w:id="6" w:name="_Hlk41556141"/>
      <w:r>
        <w:rPr>
          <w:rFonts w:ascii="宋体" w:hAnsi="宋体" w:cs="宋体" w:hint="eastAsia"/>
          <w:color w:val="auto"/>
          <w:szCs w:val="21"/>
          <w:highlight w:val="none"/>
          <w:lang w:val="en-US" w:eastAsia="zh-CN"/>
        </w:rPr>
        <w:t>4.2</w:t>
      </w:r>
      <w:r>
        <w:rPr>
          <w:rFonts w:ascii="宋体" w:hAnsi="宋体" w:cs="宋体" w:hint="eastAsia"/>
          <w:color w:val="auto"/>
          <w:kern w:val="0"/>
          <w:szCs w:val="21"/>
          <w:highlight w:val="none"/>
        </w:rPr>
        <w:t>运营方案</w:t>
      </w:r>
      <w:r>
        <w:rPr>
          <w:rFonts w:ascii="宋体" w:hAnsi="宋体" w:cs="宋体" w:hint="eastAsia"/>
          <w:color w:val="auto"/>
          <w:kern w:val="0"/>
          <w:szCs w:val="21"/>
          <w:highlight w:val="none"/>
          <w:lang w:val="en-US" w:eastAsia="zh-CN"/>
        </w:rPr>
        <w:t>和经营计划</w:t>
      </w:r>
      <w:bookmarkEnd w:id="2"/>
      <w:bookmarkEnd w:id="3"/>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响应</w:t>
      </w:r>
      <w:r>
        <w:rPr>
          <w:rFonts w:ascii="宋体" w:hAnsi="宋体" w:cs="宋体" w:hint="eastAsia"/>
          <w:color w:val="auto"/>
          <w:sz w:val="21"/>
          <w:szCs w:val="21"/>
          <w:highlight w:val="none"/>
        </w:rPr>
        <w:t>人根据双流机场所提供的未来旅客吞吐量数据进行合理测算，并向机场方提供项目期内的经营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default"/>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color w:val="auto"/>
          <w:kern w:val="0"/>
          <w:sz w:val="21"/>
          <w:szCs w:val="21"/>
          <w:highlight w:val="none"/>
        </w:rPr>
        <w:t>4.</w:t>
      </w:r>
      <w:r>
        <w:rPr>
          <w:rFonts w:ascii="宋体" w:hAnsi="宋体" w:cs="宋体" w:hint="eastAsia"/>
          <w:color w:val="auto"/>
          <w:kern w:val="0"/>
          <w:sz w:val="21"/>
          <w:szCs w:val="21"/>
          <w:highlight w:val="none"/>
          <w:lang w:val="en-US" w:eastAsia="zh-CN"/>
        </w:rPr>
        <w:t>3本项目店铺装修设计效果图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color w:val="auto"/>
          <w:szCs w:val="21"/>
          <w:highlight w:val="none"/>
          <w:lang w:eastAsia="zh-CN"/>
        </w:rPr>
        <w:t>，加盖单位公章。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numPr>
          <w:ilvl w:val="0"/>
          <w:numId w:val="0"/>
        </w:numPr>
        <w:spacing w:line="360" w:lineRule="auto"/>
        <w:outlineLvl w:val="2"/>
        <w:rPr>
          <w:rFonts w:ascii="宋体" w:eastAsia="宋体" w:hAnsi="宋体" w:cs="宋体" w:hint="default"/>
          <w:b/>
          <w:bCs/>
          <w:color w:val="auto"/>
          <w:kern w:val="0"/>
          <w:szCs w:val="21"/>
          <w:highlight w:val="none"/>
          <w:lang w:val="en-US" w:eastAsia="zh-CN"/>
        </w:rPr>
      </w:pPr>
      <w:r>
        <w:rPr>
          <w:rFonts w:ascii="宋体" w:eastAsia="宋体" w:hAnsi="宋体" w:cs="宋体" w:hint="eastAsia"/>
          <w:b/>
          <w:bCs/>
          <w:color w:val="auto"/>
          <w:kern w:val="0"/>
          <w:sz w:val="21"/>
          <w:szCs w:val="21"/>
          <w:highlight w:val="none"/>
          <w:lang w:val="en-US" w:eastAsia="zh-CN"/>
        </w:rPr>
        <w:t>5.</w:t>
      </w:r>
      <w:r>
        <w:rPr>
          <w:rFonts w:ascii="宋体" w:hAnsi="宋体" w:cs="宋体" w:hint="eastAsia"/>
          <w:b/>
          <w:bCs/>
          <w:color w:val="auto"/>
          <w:kern w:val="0"/>
          <w:szCs w:val="21"/>
          <w:highlight w:val="none"/>
          <w:lang w:val="en-US" w:eastAsia="zh-CN"/>
        </w:rPr>
        <w:t>品牌情况</w:t>
      </w:r>
    </w:p>
    <w:p>
      <w:pPr>
        <w:spacing w:line="360" w:lineRule="auto"/>
        <w:ind w:firstLine="420"/>
        <w:outlineLvl w:val="3"/>
        <w:rPr>
          <w:rFonts w:ascii="宋体" w:hAnsi="宋体" w:cs="宋体" w:hint="eastAsia"/>
          <w:color w:val="auto"/>
          <w:kern w:val="0"/>
          <w:szCs w:val="21"/>
          <w:highlight w:val="none"/>
        </w:rPr>
      </w:pPr>
      <w:r>
        <w:rPr>
          <w:rFonts w:ascii="宋体" w:hAnsi="宋体" w:cs="宋体" w:hint="eastAsia"/>
          <w:color w:val="auto"/>
          <w:kern w:val="0"/>
          <w:szCs w:val="21"/>
          <w:highlight w:val="none"/>
        </w:rPr>
        <w:t>5.1品牌坪效（单店年销售额/该单店面积所占平方米数）</w:t>
      </w:r>
      <w:r>
        <w:rPr>
          <w:rFonts w:ascii="宋体" w:hAnsi="宋体" w:cs="宋体" w:hint="eastAsia"/>
          <w:color w:val="auto"/>
          <w:kern w:val="0"/>
          <w:szCs w:val="21"/>
          <w:highlight w:val="none"/>
        </w:rPr>
        <w:br/>
      </w:r>
      <w:r>
        <w:rPr>
          <w:rFonts w:ascii="宋体" w:hAnsi="宋体" w:cs="宋体" w:hint="eastAsia"/>
          <w:color w:val="auto"/>
          <w:kern w:val="0"/>
          <w:szCs w:val="21"/>
          <w:highlight w:val="none"/>
          <w:lang w:eastAsia="zh-CN"/>
        </w:rPr>
        <w:t>响应</w:t>
      </w:r>
      <w:r>
        <w:rPr>
          <w:rFonts w:ascii="宋体" w:hAnsi="宋体" w:cs="宋体" w:hint="eastAsia"/>
          <w:color w:val="auto"/>
          <w:kern w:val="0"/>
          <w:szCs w:val="21"/>
          <w:highlight w:val="none"/>
        </w:rPr>
        <w:t>人须提供购物中心或机场业主方提供的</w:t>
      </w:r>
      <w:r>
        <w:rPr>
          <w:rFonts w:ascii="宋体" w:hAnsi="宋体" w:cs="宋体" w:hint="eastAsia"/>
          <w:color w:val="auto"/>
          <w:szCs w:val="21"/>
          <w:highlight w:val="none"/>
          <w:lang w:val="en-US" w:eastAsia="zh-CN"/>
        </w:rPr>
        <w:t>2025年度或2025年X月-2026年X月（满12个月）品牌坪效的</w:t>
      </w:r>
      <w:r>
        <w:rPr>
          <w:rFonts w:ascii="宋体" w:hAnsi="宋体" w:cs="宋体" w:hint="eastAsia"/>
          <w:color w:val="auto"/>
          <w:szCs w:val="21"/>
          <w:highlight w:val="none"/>
        </w:rPr>
        <w:t>证明材料</w:t>
      </w:r>
      <w:r>
        <w:rPr>
          <w:rFonts w:ascii="宋体" w:hAnsi="宋体" w:cs="宋体" w:hint="eastAsia"/>
          <w:color w:val="auto"/>
          <w:kern w:val="0"/>
          <w:szCs w:val="21"/>
          <w:highlight w:val="none"/>
        </w:rPr>
        <w:t>，加盖公章。</w:t>
      </w:r>
      <w:bookmarkStart w:id="7" w:name="_GoBack"/>
      <w:bookmarkEnd w:id="7"/>
    </w:p>
    <w:p>
      <w:pPr>
        <w:rPr>
          <w:rFonts w:ascii="宋体" w:hAnsi="宋体" w:cs="宋体" w:hint="eastAsia"/>
          <w:color w:val="auto"/>
          <w:kern w:val="0"/>
          <w:szCs w:val="21"/>
          <w:highlight w:val="none"/>
        </w:rPr>
      </w:pPr>
    </w:p>
    <w:p>
      <w:pPr>
        <w:rPr>
          <w:rFonts w:ascii="宋体" w:hAnsi="宋体" w:cs="宋体" w:hint="eastAsia"/>
          <w:color w:val="auto"/>
          <w:kern w:val="0"/>
          <w:szCs w:val="21"/>
          <w:highlight w:val="none"/>
        </w:rPr>
      </w:pPr>
    </w:p>
    <w:p>
      <w:pPr>
        <w:rPr>
          <w:rFonts w:ascii="宋体" w:hAnsi="宋体" w:cs="宋体" w:hint="eastAsia"/>
          <w:b/>
          <w:bCs/>
          <w:color w:val="auto"/>
          <w:kern w:val="0"/>
          <w:szCs w:val="21"/>
          <w:highlight w:val="none"/>
          <w:lang w:val="en-US" w:eastAsia="zh-CN"/>
        </w:rPr>
      </w:pPr>
      <w:r>
        <w:rPr>
          <w:rFonts w:ascii="宋体" w:hAnsi="宋体" w:cs="宋体" w:hint="eastAsia"/>
          <w:b/>
          <w:bCs/>
          <w:color w:val="auto"/>
          <w:kern w:val="0"/>
          <w:szCs w:val="21"/>
          <w:highlight w:val="none"/>
          <w:lang w:val="en-US" w:eastAsia="zh-CN"/>
        </w:rPr>
        <w:br w:type="page"/>
      </w:r>
    </w:p>
    <w:p>
      <w:pPr>
        <w:spacing w:line="360" w:lineRule="auto"/>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5.2品牌知名度</w:t>
      </w:r>
    </w:p>
    <w:p>
      <w:pPr>
        <w:pStyle w:val="a"/>
        <w:rPr>
          <w:rFonts w:hint="eastAsia"/>
          <w:color w:val="auto"/>
          <w:highlight w:val="none"/>
          <w:lang w:val="en-US" w:eastAsia="zh-CN"/>
        </w:rPr>
      </w:pPr>
      <w:r>
        <w:rPr>
          <w:rFonts w:ascii="宋体" w:hAnsi="宋体" w:cs="宋体" w:hint="eastAsia"/>
          <w:color w:val="auto"/>
          <w:kern w:val="2"/>
          <w:sz w:val="21"/>
          <w:szCs w:val="21"/>
          <w:highlight w:val="none"/>
          <w:lang w:val="en-US" w:eastAsia="zh-CN" w:bidi="ar-SA"/>
        </w:rPr>
        <w:t>提供品牌介绍及品牌知名度说明相关材料，内容可</w:t>
      </w:r>
      <w:r>
        <w:rPr>
          <w:rFonts w:ascii="宋体" w:eastAsia="宋体" w:hAnsi="宋体" w:cs="宋体" w:hint="eastAsia"/>
          <w:color w:val="auto"/>
          <w:kern w:val="2"/>
          <w:sz w:val="21"/>
          <w:szCs w:val="21"/>
          <w:highlight w:val="none"/>
          <w:lang w:val="en-US" w:eastAsia="zh-CN" w:bidi="ar-SA"/>
        </w:rPr>
        <w:t>包括但不限于品牌档次、品牌产品特色、针对的客户群、商品价格区间、在国内开设品牌店的情况、是否具有四川本地特色等</w:t>
      </w:r>
      <w:r>
        <w:rPr>
          <w:rFonts w:ascii="宋体" w:hAnsi="宋体" w:cs="宋体" w:hint="eastAsia"/>
          <w:color w:val="auto"/>
          <w:kern w:val="2"/>
          <w:sz w:val="21"/>
          <w:szCs w:val="21"/>
          <w:highlight w:val="none"/>
          <w:lang w:val="en-US" w:eastAsia="zh-CN" w:bidi="ar-SA"/>
        </w:rPr>
        <w:t>，格式自拟，加盖公章</w:t>
      </w:r>
      <w:r>
        <w:rPr>
          <w:rFonts w:ascii="宋体" w:eastAsia="宋体" w:hAnsi="宋体" w:cs="宋体" w:hint="eastAsia"/>
          <w:color w:val="auto"/>
          <w:kern w:val="2"/>
          <w:sz w:val="21"/>
          <w:szCs w:val="21"/>
          <w:highlight w:val="none"/>
          <w:lang w:val="en-US" w:eastAsia="zh-CN" w:bidi="ar-SA"/>
        </w:rPr>
        <w:t>。</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numPr>
          <w:ilvl w:val="0"/>
          <w:numId w:val="0"/>
        </w:numPr>
        <w:spacing w:line="360" w:lineRule="auto"/>
        <w:outlineLvl w:val="2"/>
        <w:rPr>
          <w:rFonts w:ascii="宋体" w:eastAsia="宋体" w:hAnsi="宋体" w:cs="宋体" w:hint="eastAsia"/>
          <w:b/>
          <w:bCs/>
          <w:color w:val="auto"/>
          <w:kern w:val="0"/>
          <w:szCs w:val="21"/>
          <w:highlight w:val="none"/>
        </w:rPr>
      </w:pPr>
      <w:r>
        <w:rPr>
          <w:rFonts w:ascii="宋体" w:hAnsi="宋体" w:cs="宋体" w:hint="eastAsia"/>
          <w:b/>
          <w:bCs/>
          <w:color w:val="auto"/>
          <w:kern w:val="0"/>
          <w:sz w:val="21"/>
          <w:szCs w:val="21"/>
          <w:highlight w:val="none"/>
          <w:lang w:val="en-US" w:eastAsia="zh-CN"/>
        </w:rPr>
        <w:t>6</w:t>
      </w:r>
      <w:r>
        <w:rPr>
          <w:rFonts w:ascii="宋体" w:eastAsia="宋体" w:hAnsi="宋体" w:cs="宋体" w:hint="eastAsia"/>
          <w:b/>
          <w:bCs/>
          <w:color w:val="auto"/>
          <w:kern w:val="0"/>
          <w:sz w:val="21"/>
          <w:szCs w:val="21"/>
          <w:highlight w:val="none"/>
          <w:lang w:val="en-US" w:eastAsia="zh-CN"/>
        </w:rPr>
        <w:t>.</w:t>
      </w:r>
      <w:r>
        <w:rPr>
          <w:rFonts w:ascii="宋体" w:hAnsi="宋体" w:cs="宋体" w:hint="eastAsia"/>
          <w:b/>
          <w:bCs/>
          <w:color w:val="auto"/>
          <w:kern w:val="0"/>
          <w:szCs w:val="21"/>
          <w:highlight w:val="none"/>
          <w:lang w:eastAsia="zh-CN"/>
        </w:rPr>
        <w:t>响应</w:t>
      </w:r>
      <w:r>
        <w:rPr>
          <w:rFonts w:ascii="宋体" w:eastAsia="宋体" w:hAnsi="宋体" w:cs="宋体" w:hint="eastAsia"/>
          <w:b/>
          <w:bCs/>
          <w:color w:val="auto"/>
          <w:kern w:val="0"/>
          <w:szCs w:val="21"/>
          <w:highlight w:val="none"/>
        </w:rPr>
        <w:t>人须提供的其他资料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人认为需要提供的其他资料，加盖公章。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4"/>
      <w:bookmarkEnd w:id="5"/>
      <w:bookmarkEnd w:id="6"/>
    </w:p>
    <w:p>
      <w:pPr>
        <w:numPr>
          <w:ilvl w:val="0"/>
          <w:numId w:val="2"/>
        </w:numPr>
        <w:spacing w:line="360" w:lineRule="auto"/>
        <w:outlineLvl w:val="1"/>
        <w:rPr>
          <w:rFonts w:ascii="宋体" w:hAnsi="宋体" w:cs="宋体" w:hint="eastAsia"/>
          <w:b/>
          <w:bCs/>
          <w:color w:val="auto"/>
          <w:sz w:val="24"/>
          <w:highlight w:val="none"/>
        </w:rPr>
      </w:pPr>
      <w:bookmarkStart w:id="8" w:name="_Toc12908"/>
      <w:r>
        <w:rPr>
          <w:rFonts w:ascii="宋体" w:hAnsi="宋体" w:cs="宋体" w:hint="eastAsia"/>
          <w:b/>
          <w:bCs/>
          <w:color w:val="auto"/>
          <w:sz w:val="24"/>
          <w:highlight w:val="none"/>
        </w:rPr>
        <w:t>商务方案分册</w:t>
      </w:r>
      <w:bookmarkEnd w:id="8"/>
    </w:p>
    <w:p>
      <w:pPr>
        <w:pStyle w:val="a"/>
        <w:numPr>
          <w:ilvl w:val="0"/>
          <w:numId w:val="0"/>
        </w:numPr>
        <w:rPr>
          <w:rFonts w:hint="default"/>
          <w:lang w:val="en-US" w:eastAsia="zh-CN"/>
        </w:rPr>
      </w:pPr>
    </w:p>
    <w:p>
      <w:pPr>
        <w:spacing w:line="360" w:lineRule="auto"/>
        <w:jc w:val="center"/>
        <w:rPr>
          <w:rFonts w:ascii="宋体" w:hAnsi="宋体" w:cs="宋体" w:hint="default"/>
          <w:b/>
          <w:bCs/>
          <w:color w:val="auto"/>
          <w:sz w:val="28"/>
          <w:szCs w:val="28"/>
          <w:highlight w:val="none"/>
          <w:lang w:val="en-US" w:eastAsia="zh-CN"/>
        </w:rPr>
      </w:pPr>
      <w:r>
        <w:rPr>
          <w:rFonts w:ascii="宋体" w:hAnsi="宋体" w:cs="宋体" w:hint="eastAsia"/>
          <w:b/>
          <w:bCs/>
          <w:color w:val="auto"/>
          <w:sz w:val="28"/>
          <w:szCs w:val="28"/>
          <w:highlight w:val="none"/>
          <w:lang w:val="en-US" w:eastAsia="zh-CN"/>
        </w:rPr>
        <w:t>T2航站楼</w:t>
      </w:r>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食品特产类</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jc w:val="center"/>
              <w:rPr>
                <w:rFonts w:ascii="宋体" w:eastAsia="宋体" w:hAnsi="宋体" w:cs="宋体" w:hint="default"/>
                <w:color w:val="auto"/>
                <w:szCs w:val="21"/>
                <w:highlight w:val="none"/>
                <w:lang w:val="en-US" w:eastAsia="zh-CN"/>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eastAsia="宋体" w:hAnsi="宋体" w:cs="宋体" w:hint="eastAsia"/>
                <w:color w:val="auto"/>
                <w:szCs w:val="21"/>
                <w:highlight w:val="none"/>
                <w:lang w:eastAsia="zh-CN"/>
              </w:rPr>
            </w:pPr>
            <w:r>
              <w:rPr>
                <w:rFonts w:ascii="宋体" w:eastAsia="宋体" w:hAnsi="宋体" w:cs="宋体" w:hint="eastAsia"/>
                <w:color w:val="auto"/>
                <w:szCs w:val="21"/>
                <w:highlight w:val="none"/>
                <w:lang w:val="en-US" w:eastAsia="zh-CN"/>
              </w:rPr>
              <w:t>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61"/>
        </w:trPr>
        <w:tc>
          <w:tcPr>
            <w:tcW w:w="2154" w:type="dxa"/>
            <w:vAlign w:val="center"/>
          </w:tcPr>
          <w:p>
            <w:pPr>
              <w:spacing w:line="360" w:lineRule="auto"/>
              <w:jc w:val="center"/>
              <w:rPr>
                <w:rFonts w:eastAsia="宋体" w:hint="eastAsia"/>
                <w:lang w:eastAsia="zh-CN"/>
              </w:rPr>
            </w:pPr>
            <w:r>
              <w:rPr>
                <w:rFonts w:hint="eastAsia"/>
              </w:rPr>
              <w:t>销售额提成比例</w:t>
            </w:r>
          </w:p>
        </w:tc>
        <w:tc>
          <w:tcPr>
            <w:tcW w:w="6227" w:type="dxa"/>
            <w:vAlign w:val="center"/>
          </w:tcPr>
          <w:p>
            <w:pPr>
              <w:pStyle w:val="a"/>
              <w:spacing w:line="360" w:lineRule="auto"/>
              <w:jc w:val="center"/>
              <w:rPr>
                <w:rFonts w:ascii="宋体" w:eastAsia="宋体" w:hAnsi="宋体" w:cs="宋体" w:hint="default"/>
                <w:color w:val="auto"/>
                <w:sz w:val="21"/>
                <w:szCs w:val="21"/>
                <w:highlight w:val="none"/>
                <w:lang w:val="en-US" w:eastAsia="zh-CN"/>
              </w:rPr>
            </w:pPr>
            <w:r>
              <w:rPr>
                <w:rFonts w:ascii="宋体" w:hAnsi="宋体" w:cs="宋体" w:hint="eastAsia"/>
                <w:color w:val="auto"/>
                <w:sz w:val="21"/>
                <w:szCs w:val="21"/>
                <w:highlight w:val="none"/>
                <w:lang w:val="en-US" w:eastAsia="zh-CN"/>
              </w:rPr>
              <w:t>提成比例</w:t>
            </w:r>
            <w:r>
              <w:rPr>
                <w:rFonts w:ascii="宋体" w:hAnsi="宋体" w:cs="宋体" w:hint="eastAsia"/>
                <w:color w:val="auto"/>
                <w:sz w:val="21"/>
                <w:szCs w:val="21"/>
                <w:u w:val="single"/>
              </w:rPr>
              <w:t xml:space="preserve">      </w:t>
            </w:r>
            <w:r>
              <w:rPr>
                <w:rFonts w:ascii="宋体" w:hAnsi="宋体" w:cs="宋体" w:hint="eastAsia"/>
                <w:color w:val="auto"/>
                <w:sz w:val="21"/>
                <w:szCs w:val="21"/>
              </w:rPr>
              <w:t>%</w:t>
            </w:r>
            <w:r>
              <w:rPr>
                <w:rFonts w:ascii="宋体" w:hAnsi="宋体" w:cs="宋体" w:hint="eastAsia"/>
                <w:b/>
                <w:bCs/>
                <w:color w:val="auto"/>
                <w:sz w:val="21"/>
                <w:szCs w:val="21"/>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3"/>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响应</w:t>
            </w:r>
            <w:r>
              <w:rPr>
                <w:rFonts w:ascii="宋体" w:hAnsi="宋体" w:cs="宋体" w:hint="eastAsia"/>
                <w:color w:val="auto"/>
                <w:szCs w:val="21"/>
                <w:highlight w:val="none"/>
              </w:rPr>
              <w:t>人的月保底经营费用随双流国际机场T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A2C483C"/>
    <w:multiLevelType w:val="singleLevel"/>
    <w:tmpl w:val="EA2C483C"/>
    <w:lvl w:ilvl="0">
      <w:start w:val="2"/>
      <w:numFmt w:val="chineseCounting"/>
      <w:suff w:val="nothing"/>
      <w:lvlText w:val="%1、"/>
      <w:lvlJc w:val="left"/>
      <w:rPr>
        <w:rFonts w:hint="eastAsia"/>
      </w:rPr>
    </w:lvl>
  </w:abstractNum>
  <w:abstractNum w:abstractNumId="2">
    <w:nsid w:val="5E607173"/>
    <w:multiLevelType w:val="singleLevel"/>
    <w:tmpl w:val="5E60717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居中"/>
    <w:basedOn w:val="Normal"/>
    <w:qFormat/>
    <w:pPr>
      <w:spacing w:before="120"/>
      <w:jc w:val="center"/>
    </w:pPr>
    <w:rPr>
      <w:rFonts w:eastAsia="黑体"/>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25</Pages>
  <Words>4410</Words>
  <Characters>4665</Characters>
  <Application>Microsoft Office Word</Application>
  <DocSecurity>0</DocSecurity>
  <Lines>0</Lines>
  <Paragraphs>0</Paragraphs>
  <ScaleCrop>false</ScaleCrop>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2026-01-16T04:19:00Z</cp:lastPrinted>
  <dcterms:created xsi:type="dcterms:W3CDTF">2024-10-08T07:04:00Z</dcterms:created>
  <dcterms:modified xsi:type="dcterms:W3CDTF">2026-05-08T06:09:51Z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A1F8628337FA4090AA08CBC9B8330BF2_12</vt:lpwstr>
  </property>
  <property fmtid="{D5CDD505-2E9C-101B-9397-08002B2CF9AE}" pid="3" name="KSOProductBuildVer">
    <vt:lpwstr>2052-11.8.6.9023</vt:lpwstr>
  </property>
  <property fmtid="{D5CDD505-2E9C-101B-9397-08002B2CF9AE}" pid="4" name="KSOTemplateDocerSaveRecord">
    <vt:lpwstr>eyJoZGlkIjoiZWY3YjA5MjBhMTU3ZmI5ZTlkNTgxMDAzM2E0Mzg5MmUiLCJ1c2VySWQiOiI0MTg3OTI1MDQifQ==</vt:lpwstr>
  </property>
</Properties>
</file>