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pStyle w:val="NormalWeb"/>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rPr>
          <w:rFonts w:ascii="Times New Roman" w:eastAsia="宋体" w:hAnsi="Times New Roman" w:hint="eastAsia"/>
          <w:shd w:val="clear" w:color="auto" w:fill="FFFFFF"/>
        </w:rPr>
      </w:pPr>
      <w:r>
        <w:rPr>
          <w:rFonts w:ascii="Times New Roman" w:eastAsia="宋体" w:hAnsi="Times New Roman" w:hint="eastAsia"/>
          <w:shd w:val="clear" w:color="auto" w:fill="FFFFFF"/>
        </w:rPr>
        <w:t>附件：</w:t>
      </w:r>
      <w:r>
        <w:rPr>
          <w:rFonts w:ascii="Times New Roman" w:hAnsi="Times New Roman" w:hint="eastAsia"/>
          <w:shd w:val="clear" w:color="auto" w:fill="FFFFFF"/>
          <w:lang w:eastAsia="zh-CN"/>
        </w:rPr>
        <w:t>响应人</w:t>
      </w:r>
      <w:r>
        <w:rPr>
          <w:rFonts w:ascii="Times New Roman" w:eastAsia="宋体" w:hAnsi="Times New Roman" w:hint="eastAsia"/>
          <w:shd w:val="clear" w:color="auto" w:fill="FFFFFF"/>
        </w:rPr>
        <w:t>报名清单及商务报价单（</w:t>
      </w:r>
      <w:r>
        <w:rPr>
          <w:rFonts w:ascii="Times New Roman" w:hAnsi="Times New Roman" w:hint="eastAsia"/>
          <w:shd w:val="clear" w:color="auto" w:fill="FFFFFF"/>
          <w:lang w:val="en-US" w:eastAsia="zh-CN"/>
        </w:rPr>
        <w:t>快闪店</w:t>
      </w:r>
      <w:r>
        <w:rPr>
          <w:rFonts w:ascii="Times New Roman" w:eastAsia="宋体" w:hAnsi="Times New Roman" w:hint="eastAsia"/>
          <w:shd w:val="clear" w:color="auto" w:fill="FFFFFF"/>
        </w:rPr>
        <w:t>）</w:t>
      </w:r>
    </w:p>
    <w:p>
      <w:pPr>
        <w:pStyle w:val="NormalWeb"/>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textAlignment w:val="auto"/>
        <w:rPr>
          <w:rFonts w:ascii="Times New Roman" w:eastAsia="宋体" w:hAnsi="Times New Roman" w:hint="eastAsia"/>
          <w:shd w:val="clear" w:color="auto" w:fill="FFFFFF"/>
        </w:rPr>
      </w:pP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spacing w:line="360" w:lineRule="auto"/>
        <w:ind w:left="1470" w:firstLine="640"/>
        <w:rPr>
          <w:rFonts w:asciiTheme="majorEastAsia" w:eastAsiaTheme="majorEastAsia" w:hAnsiTheme="majorEastAsia" w:cstheme="majorEastAsia" w:hint="eastAsia"/>
          <w:color w:val="auto"/>
          <w:sz w:val="32"/>
          <w:szCs w:val="32"/>
          <w:highlight w:val="none"/>
          <w:lang w:eastAsia="zh-CN"/>
        </w:rPr>
      </w:pPr>
    </w:p>
    <w:p>
      <w:pPr>
        <w:spacing w:line="360" w:lineRule="auto"/>
        <w:ind w:left="1470" w:firstLine="640"/>
        <w:rPr>
          <w:rFonts w:asciiTheme="majorEastAsia" w:eastAsiaTheme="majorEastAsia" w:hAnsiTheme="majorEastAsia" w:cstheme="majorEastAsia" w:hint="eastAsia"/>
          <w:color w:val="auto"/>
          <w:sz w:val="32"/>
          <w:szCs w:val="32"/>
          <w:highlight w:val="none"/>
          <w:lang w:eastAsia="zh-CN"/>
        </w:rPr>
      </w:pPr>
    </w:p>
    <w:p>
      <w:pPr>
        <w:spacing w:line="360" w:lineRule="auto"/>
        <w:ind w:left="1470" w:firstLine="640"/>
        <w:rPr>
          <w:rFonts w:asciiTheme="majorEastAsia" w:eastAsiaTheme="majorEastAsia" w:hAnsiTheme="majorEastAsia" w:cstheme="majorEastAsia" w:hint="eastAsia"/>
          <w:color w:val="auto"/>
          <w:sz w:val="32"/>
          <w:szCs w:val="32"/>
          <w:highlight w:val="none"/>
          <w:lang w:eastAsia="zh-CN"/>
        </w:rPr>
      </w:pPr>
    </w:p>
    <w:p>
      <w:pPr>
        <w:spacing w:line="360" w:lineRule="auto"/>
        <w:ind w:left="1470" w:firstLine="640"/>
        <w:rPr>
          <w:rFonts w:asciiTheme="majorEastAsia" w:eastAsiaTheme="majorEastAsia" w:hAnsiTheme="majorEastAsia" w:cstheme="majorEastAsia" w:hint="eastAsia"/>
          <w:color w:val="auto"/>
          <w:sz w:val="32"/>
          <w:szCs w:val="32"/>
          <w:highlight w:val="none"/>
          <w:lang w:eastAsia="zh-CN"/>
        </w:rPr>
      </w:pPr>
    </w:p>
    <w:p>
      <w:pPr>
        <w:spacing w:line="360" w:lineRule="auto"/>
        <w:ind w:left="1470" w:firstLine="640"/>
        <w:rPr>
          <w:rFonts w:asciiTheme="majorEastAsia" w:eastAsiaTheme="majorEastAsia" w:hAnsiTheme="majorEastAsia" w:cstheme="majorEastAsia" w:hint="eastAsia"/>
          <w:color w:val="auto"/>
          <w:sz w:val="32"/>
          <w:szCs w:val="32"/>
          <w:highlight w:val="none"/>
          <w:lang w:eastAsia="zh-CN"/>
        </w:rPr>
      </w:pPr>
    </w:p>
    <w:p>
      <w:pPr>
        <w:spacing w:line="360" w:lineRule="auto"/>
        <w:ind w:left="1470" w:firstLine="640"/>
        <w:rPr>
          <w:rFonts w:asciiTheme="majorEastAsia" w:eastAsiaTheme="majorEastAsia" w:hAnsiTheme="majorEastAsia" w:cstheme="majorEastAsia" w:hint="eastAsia"/>
          <w:color w:val="auto"/>
          <w:sz w:val="32"/>
          <w:szCs w:val="32"/>
          <w:highlight w:val="none"/>
          <w:lang w:eastAsia="zh-CN"/>
        </w:rPr>
      </w:pPr>
    </w:p>
    <w:p>
      <w:pPr>
        <w:spacing w:line="360" w:lineRule="auto"/>
        <w:ind w:left="1470" w:firstLine="640"/>
        <w:rPr>
          <w:rFonts w:asciiTheme="majorEastAsia" w:eastAsiaTheme="majorEastAsia" w:hAnsiTheme="majorEastAsia" w:cstheme="majorEastAsia" w:hint="eastAsia"/>
          <w:color w:val="auto"/>
          <w:sz w:val="32"/>
          <w:szCs w:val="32"/>
          <w:highlight w:val="none"/>
          <w:lang w:eastAsia="zh-CN"/>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
      <w:pPr>
        <w:pStyle w:val="a"/>
      </w:pPr>
    </w:p>
    <w:p>
      <w:pPr>
        <w:pStyle w:val="a"/>
      </w:pPr>
    </w:p>
    <w:p>
      <w:pPr>
        <w:pStyle w:val="a"/>
      </w:pPr>
    </w:p>
    <w:p>
      <w:pPr>
        <w:pStyle w:val="a"/>
      </w:pPr>
    </w:p>
    <w:p>
      <w:pPr>
        <w:widowControl/>
        <w:jc w:val="left"/>
        <w:rPr>
          <w:rFonts w:ascii="宋体" w:hAnsi="宋体" w:cs="宋体"/>
          <w:color w:val="auto"/>
          <w:szCs w:val="21"/>
          <w:highlight w:val="none"/>
        </w:rPr>
      </w:pPr>
      <w:r>
        <w:rPr>
          <w:rFonts w:ascii="宋体" w:hAnsi="宋体" w:cs="宋体" w:hint="eastAsia"/>
          <w:b/>
          <w:bCs/>
          <w:color w:val="auto"/>
          <w:szCs w:val="21"/>
          <w:highlight w:val="none"/>
        </w:rPr>
        <w:t>（一）技术方案分册</w:t>
      </w:r>
    </w:p>
    <w:p>
      <w:pPr>
        <w:numPr>
          <w:ilvl w:val="0"/>
          <w:numId w:val="1"/>
        </w:numPr>
        <w:spacing w:line="360" w:lineRule="auto"/>
        <w:ind w:firstLine="422"/>
        <w:jc w:val="left"/>
        <w:outlineLvl w:val="1"/>
        <w:rPr>
          <w:rFonts w:ascii="宋体" w:hAnsi="宋体" w:cs="宋体"/>
          <w:b/>
          <w:bCs/>
          <w:color w:val="auto"/>
          <w:szCs w:val="21"/>
          <w:highlight w:val="none"/>
        </w:rPr>
      </w:pPr>
      <w:bookmarkStart w:id="0" w:name="_Toc26921"/>
      <w:r>
        <w:rPr>
          <w:rFonts w:ascii="宋体" w:hAnsi="宋体" w:cs="宋体" w:hint="eastAsia"/>
          <w:b/>
          <w:bCs/>
          <w:color w:val="auto"/>
          <w:szCs w:val="21"/>
          <w:highlight w:val="none"/>
        </w:rPr>
        <w:t>基本情况</w:t>
      </w:r>
      <w:bookmarkEnd w:id="0"/>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rPr>
        <w:t>T2航站楼招商标段</w:t>
      </w:r>
      <w:r>
        <w:rPr>
          <w:rFonts w:ascii="宋体" w:hAnsi="宋体" w:cs="宋体" w:hint="eastAsia"/>
          <w:color w:val="auto"/>
          <w:szCs w:val="21"/>
          <w:highlight w:val="none"/>
          <w:lang w:val="en-US" w:eastAsia="zh-CN"/>
        </w:rPr>
        <w:t>快闪店</w:t>
      </w:r>
      <w:r>
        <w:rPr>
          <w:rFonts w:ascii="宋体" w:hAnsi="宋体" w:cs="宋体" w:hint="eastAsia"/>
          <w:color w:val="auto"/>
          <w:szCs w:val="21"/>
          <w:highlight w:val="none"/>
        </w:rPr>
        <w:t>的</w:t>
      </w:r>
      <w:r>
        <w:rPr>
          <w:rFonts w:ascii="宋体" w:hAnsi="宋体" w:cs="宋体" w:hint="eastAsia"/>
          <w:color w:val="auto"/>
          <w:szCs w:val="21"/>
          <w:highlight w:val="none"/>
          <w:lang w:eastAsia="zh-CN"/>
        </w:rPr>
        <w:t>招商应答文件</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pStyle w:val="a"/>
        <w:rPr>
          <w:rFonts w:ascii="宋体" w:hAnsi="宋体" w:cs="宋体"/>
          <w:color w:val="auto"/>
          <w:sz w:val="21"/>
          <w:szCs w:val="21"/>
          <w:highlight w:val="none"/>
        </w:rPr>
      </w:pPr>
      <w:r>
        <w:rPr>
          <w:rFonts w:ascii="宋体" w:hAnsi="宋体" w:cs="宋体" w:hint="eastAsia"/>
          <w:color w:val="auto"/>
          <w:sz w:val="21"/>
          <w:szCs w:val="21"/>
          <w:highlight w:val="none"/>
        </w:rPr>
        <w:t>1.2 企业营业执照副本复印件</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Cs/>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招商应答文件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)为我公司授权代表，参与成都双流国际机场T2航站楼招商工作，以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招商应答文件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招商应答文件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人联系，并处理与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招商</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（需盖鲜章）</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t>1.5未被列为严重违法失信企业名单（黑名单）截图</w:t>
      </w: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ind w:firstLine="422"/>
        <w:rPr>
          <w:rFonts w:ascii="宋体" w:hAnsi="宋体" w:cs="宋体"/>
          <w:b/>
          <w:bCs/>
          <w:color w:val="auto"/>
          <w:szCs w:val="21"/>
          <w:highlight w:val="none"/>
        </w:rPr>
      </w:pPr>
    </w:p>
    <w:p>
      <w:pPr>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360" w:lineRule="auto"/>
        <w:outlineLvl w:val="1"/>
        <w:rPr>
          <w:rFonts w:ascii="宋体" w:hAnsi="宋体" w:cs="宋体"/>
          <w:b/>
          <w:bCs/>
          <w:color w:val="auto"/>
          <w:szCs w:val="21"/>
          <w:highlight w:val="none"/>
        </w:rPr>
      </w:pPr>
      <w:bookmarkStart w:id="1" w:name="_Toc4195"/>
      <w:r>
        <w:rPr>
          <w:rFonts w:ascii="宋体" w:hAnsi="宋体" w:cs="宋体" w:hint="eastAsia"/>
          <w:b/>
          <w:bCs/>
          <w:color w:val="auto"/>
          <w:szCs w:val="21"/>
          <w:highlight w:val="none"/>
        </w:rPr>
        <w:t>2.综合实力</w:t>
      </w:r>
      <w:bookmarkEnd w:id="1"/>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ind w:firstLine="420"/>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bookmarkStart w:id="2" w:name="_GoBack"/>
      <w:bookmarkEnd w:id="2"/>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3" w:name="_Toc41558660"/>
      <w:bookmarkStart w:id="4" w:name="_Toc12575"/>
      <w:r>
        <w:rPr>
          <w:rFonts w:ascii="宋体" w:hAnsi="宋体" w:cs="宋体" w:hint="eastAsia"/>
          <w:b/>
          <w:bCs/>
          <w:color w:val="auto"/>
          <w:szCs w:val="21"/>
          <w:highlight w:val="none"/>
        </w:rPr>
        <w:br w:type="page"/>
      </w:r>
      <w:bookmarkEnd w:id="3"/>
      <w:bookmarkEnd w:id="4"/>
    </w:p>
    <w:p>
      <w:pPr>
        <w:spacing w:line="360" w:lineRule="auto"/>
        <w:outlineLvl w:val="1"/>
        <w:rPr>
          <w:rFonts w:ascii="宋体" w:hAnsi="宋体" w:cs="宋体"/>
          <w:b/>
          <w:bCs/>
          <w:color w:val="auto"/>
          <w:szCs w:val="21"/>
          <w:highlight w:val="none"/>
        </w:rPr>
      </w:pPr>
      <w:bookmarkStart w:id="5" w:name="_Toc9186"/>
      <w:r>
        <w:rPr>
          <w:rFonts w:ascii="宋体" w:hAnsi="宋体" w:cs="宋体" w:hint="eastAsia"/>
          <w:b/>
          <w:bCs/>
          <w:color w:val="auto"/>
          <w:szCs w:val="21"/>
          <w:highlight w:val="none"/>
        </w:rPr>
        <w:t>3.经营能力</w:t>
      </w:r>
      <w:bookmarkEnd w:id="5"/>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2026年4月30日，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pStyle w:val="a"/>
        <w:jc w:val="right"/>
        <w:rPr>
          <w:color w:val="auto"/>
          <w:highlight w:val="none"/>
        </w:rPr>
      </w:pPr>
      <w:r>
        <w:rPr>
          <w:rFonts w:hint="eastAsia"/>
          <w:color w:val="auto"/>
          <w:highlight w:val="none"/>
        </w:rPr>
        <w:t>（加盖公章）</w:t>
      </w:r>
    </w:p>
    <w:p>
      <w:pPr>
        <w:ind w:firstLine="420"/>
        <w:rPr>
          <w:rFonts w:asciiTheme="minorEastAsia" w:eastAsiaTheme="minorEastAsia" w:hAnsiTheme="minorEastAsia" w:cs="宋体" w:hint="eastAsia"/>
          <w:color w:val="auto"/>
          <w:szCs w:val="21"/>
          <w:highlight w:val="none"/>
        </w:rPr>
      </w:pPr>
    </w:p>
    <w:p>
      <w:pPr>
        <w:ind w:firstLine="420"/>
        <w:rPr>
          <w:rFonts w:asciiTheme="minorEastAsia" w:eastAsiaTheme="minorEastAsia" w:hAnsiTheme="minorEastAsia" w:cs="宋体" w:hint="eastAsia"/>
          <w:color w:val="auto"/>
          <w:szCs w:val="21"/>
          <w:highlight w:val="none"/>
        </w:rPr>
      </w:pPr>
    </w:p>
    <w:p>
      <w:pPr>
        <w:ind w:firstLine="420"/>
        <w:rPr>
          <w:rFonts w:asciiTheme="minorEastAsia" w:eastAsiaTheme="minorEastAsia" w:hAnsiTheme="minorEastAsia" w:cs="宋体" w:hint="eastAsia"/>
          <w:color w:val="auto"/>
          <w:szCs w:val="21"/>
          <w:highlight w:val="none"/>
        </w:rPr>
      </w:pPr>
    </w:p>
    <w:p>
      <w:pPr>
        <w:ind w:firstLine="420"/>
        <w:rPr>
          <w:rFonts w:asciiTheme="minorEastAsia" w:eastAsiaTheme="minorEastAsia" w:hAnsiTheme="minorEastAsia" w:cs="宋体" w:hint="eastAsia"/>
          <w:color w:val="auto"/>
          <w:szCs w:val="21"/>
          <w:highlight w:val="none"/>
        </w:rPr>
      </w:pPr>
    </w:p>
    <w:p>
      <w:pPr>
        <w:ind w:firstLine="420"/>
        <w:rPr>
          <w:rFonts w:asciiTheme="minorEastAsia" w:eastAsiaTheme="minorEastAsia" w:hAnsiTheme="minorEastAsia" w:cs="宋体" w:hint="eastAsia"/>
          <w:color w:val="auto"/>
          <w:szCs w:val="21"/>
          <w:highlight w:val="none"/>
        </w:rPr>
      </w:pPr>
    </w:p>
    <w:p>
      <w:pPr>
        <w:ind w:firstLine="420"/>
        <w:rPr>
          <w:rFonts w:asciiTheme="minorEastAsia" w:eastAsiaTheme="minorEastAsia" w:hAnsiTheme="minorEastAsia"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shd w:val="clear" w:color="auto" w:fill="auto"/>
        <w:spacing w:line="360" w:lineRule="auto"/>
        <w:jc w:val="left"/>
        <w:outlineLvl w:val="3"/>
        <w:rPr>
          <w:rFonts w:ascii="宋体" w:hAnsi="宋体" w:cs="宋体" w:hint="eastAsia"/>
          <w:color w:val="auto"/>
          <w:szCs w:val="21"/>
          <w:highlight w:val="none"/>
        </w:rPr>
      </w:pPr>
    </w:p>
    <w:p>
      <w:pPr>
        <w:shd w:val="clear" w:color="auto" w:fill="auto"/>
        <w:spacing w:line="360" w:lineRule="auto"/>
        <w:jc w:val="left"/>
        <w:outlineLvl w:val="3"/>
        <w:rPr>
          <w:rFonts w:asciiTheme="minorEastAsia" w:eastAsiaTheme="minorEastAsia" w:hAnsiTheme="minorEastAsia" w:cstheme="minorEastAsia" w:hint="eastAsia"/>
          <w:color w:val="auto"/>
          <w:szCs w:val="21"/>
          <w:highlight w:val="none"/>
        </w:rPr>
      </w:pPr>
      <w:r>
        <w:rPr>
          <w:rFonts w:ascii="宋体" w:hAnsi="宋体" w:cs="宋体" w:hint="eastAsia"/>
          <w:color w:val="auto"/>
          <w:szCs w:val="21"/>
          <w:highlight w:val="none"/>
        </w:rPr>
        <w:t>3.3</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63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spacing w:line="360" w:lineRule="auto"/>
        <w:ind w:firstLine="315"/>
        <w:jc w:val="left"/>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kern w:val="0"/>
          <w:szCs w:val="21"/>
          <w:highlight w:val="none"/>
        </w:rPr>
      </w:pPr>
      <w:r>
        <w:rPr>
          <w:rFonts w:ascii="宋体" w:hAnsi="宋体" w:cs="宋体"/>
          <w:color w:val="auto"/>
          <w:szCs w:val="21"/>
          <w:highlight w:val="none"/>
        </w:rPr>
        <w:br w:type="page"/>
      </w:r>
    </w:p>
    <w:p>
      <w:pPr>
        <w:spacing w:line="360" w:lineRule="auto"/>
        <w:outlineLvl w:val="1"/>
        <w:rPr>
          <w:rFonts w:ascii="宋体" w:hAnsi="宋体" w:cs="宋体"/>
          <w:b/>
          <w:bCs/>
          <w:color w:val="auto"/>
          <w:szCs w:val="21"/>
          <w:highlight w:val="none"/>
        </w:rPr>
      </w:pPr>
      <w:bookmarkStart w:id="6" w:name="_Toc20879"/>
      <w:bookmarkStart w:id="7" w:name="_Toc9087"/>
      <w:bookmarkStart w:id="8" w:name="_Toc41558662"/>
      <w:bookmarkStart w:id="9" w:name="_Hlk41556141"/>
      <w:r>
        <w:rPr>
          <w:rFonts w:ascii="宋体" w:hAnsi="宋体" w:cs="宋体"/>
          <w:b/>
          <w:bCs/>
          <w:color w:val="auto"/>
          <w:szCs w:val="21"/>
          <w:highlight w:val="none"/>
        </w:rPr>
        <w:t>4</w:t>
      </w:r>
      <w:r>
        <w:rPr>
          <w:rFonts w:ascii="宋体" w:hAnsi="宋体" w:cs="宋体" w:hint="eastAsia"/>
          <w:b/>
          <w:bCs/>
          <w:color w:val="auto"/>
          <w:szCs w:val="21"/>
          <w:highlight w:val="none"/>
        </w:rPr>
        <w:t>.经营方案</w:t>
      </w:r>
      <w:bookmarkEnd w:id="6"/>
    </w:p>
    <w:p>
      <w:pPr>
        <w:spacing w:line="360" w:lineRule="auto"/>
        <w:ind w:firstLine="420"/>
        <w:jc w:val="left"/>
        <w:outlineLvl w:val="3"/>
        <w:rPr>
          <w:rFonts w:ascii="宋体" w:eastAsia="宋体" w:hAnsi="宋体" w:cs="宋体" w:hint="eastAsia"/>
          <w:color w:val="auto"/>
          <w:szCs w:val="21"/>
          <w:highlight w:val="none"/>
          <w:lang w:eastAsia="zh-CN"/>
        </w:rPr>
      </w:pPr>
      <w:bookmarkStart w:id="10" w:name="_Toc27037"/>
      <w:bookmarkStart w:id="11" w:name="_Toc4063"/>
      <w:r>
        <w:rPr>
          <w:rFonts w:ascii="宋体" w:hAnsi="宋体" w:cs="宋体" w:hint="eastAsia"/>
          <w:color w:val="auto"/>
          <w:szCs w:val="21"/>
          <w:highlight w:val="none"/>
        </w:rPr>
        <w:t>4</w:t>
      </w:r>
      <w:r>
        <w:rPr>
          <w:rFonts w:ascii="宋体" w:hAnsi="宋体" w:cs="宋体"/>
          <w:color w:val="auto"/>
          <w:szCs w:val="21"/>
          <w:highlight w:val="none"/>
        </w:rPr>
        <w:t>.1</w:t>
      </w:r>
      <w:bookmarkEnd w:id="10"/>
      <w:bookmarkEnd w:id="11"/>
      <w:r>
        <w:rPr>
          <w:rFonts w:ascii="宋体" w:hAnsi="宋体" w:cs="宋体" w:hint="eastAsia"/>
          <w:color w:val="auto"/>
          <w:kern w:val="0"/>
          <w:szCs w:val="21"/>
          <w:highlight w:val="none"/>
          <w:lang/>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lang/>
        </w:rPr>
        <w:t>设计效果图</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ind w:firstLine="42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pStyle w:val="a"/>
        <w:adjustRightInd/>
        <w:spacing w:line="360" w:lineRule="auto"/>
        <w:rPr>
          <w:rFonts w:ascii="宋体" w:hAnsi="宋体" w:cs="宋体"/>
          <w:color w:val="auto"/>
          <w:sz w:val="21"/>
          <w:szCs w:val="21"/>
          <w:highlight w:val="none"/>
        </w:rPr>
      </w:pPr>
    </w:p>
    <w:p>
      <w:pPr>
        <w:spacing w:line="360" w:lineRule="auto"/>
        <w:jc w:val="left"/>
        <w:outlineLvl w:val="3"/>
        <w:rPr>
          <w:rFonts w:ascii="宋体" w:hAnsi="宋体" w:cs="宋体" w:hint="eastAsia"/>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2</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420"/>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1"/>
        <w:rPr>
          <w:rFonts w:ascii="宋体" w:hAnsi="宋体" w:cs="宋体"/>
          <w:b/>
          <w:bCs/>
          <w:color w:val="auto"/>
          <w:szCs w:val="21"/>
          <w:highlight w:val="none"/>
        </w:rPr>
      </w:pPr>
      <w:bookmarkStart w:id="12" w:name="_Toc6984"/>
      <w:bookmarkStart w:id="13" w:name="_Toc17663"/>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12"/>
      <w:r>
        <w:rPr>
          <w:rFonts w:ascii="宋体" w:hAnsi="宋体" w:cs="宋体" w:hint="eastAsia"/>
          <w:b/>
          <w:bCs/>
          <w:color w:val="auto"/>
          <w:szCs w:val="21"/>
          <w:highlight w:val="none"/>
        </w:rPr>
        <w:t>情况</w:t>
      </w:r>
      <w:bookmarkEnd w:id="13"/>
    </w:p>
    <w:p>
      <w:pPr>
        <w:spacing w:line="360" w:lineRule="auto"/>
        <w:rPr>
          <w:rFonts w:ascii="宋体" w:hAnsi="宋体" w:cs="宋体"/>
          <w:color w:val="auto"/>
          <w:szCs w:val="21"/>
          <w:highlight w:val="none"/>
        </w:rPr>
      </w:pPr>
      <w:r>
        <w:rPr>
          <w:rFonts w:ascii="宋体" w:hAnsi="宋体" w:cs="宋体"/>
          <w:color w:val="auto"/>
          <w:szCs w:val="21"/>
          <w:highlight w:val="none"/>
        </w:rPr>
        <w:t>5.1</w:t>
      </w:r>
      <w:r>
        <w:rPr>
          <w:rFonts w:ascii="宋体" w:hAnsi="宋体" w:cs="宋体" w:hint="eastAsia"/>
          <w:color w:val="auto"/>
          <w:szCs w:val="21"/>
          <w:highlight w:val="none"/>
        </w:rPr>
        <w:t>品牌介绍：</w:t>
      </w:r>
      <w:r>
        <w:rPr>
          <w:rFonts w:asciiTheme="minorEastAsia" w:eastAsiaTheme="minorEastAsia" w:hAnsiTheme="minorEastAsia" w:cs="宋体" w:hint="eastAsia"/>
          <w:color w:val="auto"/>
          <w:szCs w:val="21"/>
          <w:highlight w:val="none"/>
          <w:lang w:eastAsia="zh-CN"/>
        </w:rPr>
        <w:t>招商</w:t>
      </w:r>
      <w:r>
        <w:rPr>
          <w:rFonts w:asciiTheme="minorEastAsia" w:eastAsiaTheme="minorEastAsia" w:hAnsiTheme="minorEastAsia" w:cs="宋体" w:hint="eastAsia"/>
          <w:color w:val="auto"/>
          <w:szCs w:val="21"/>
          <w:highlight w:val="none"/>
        </w:rPr>
        <w:t>时须提供品牌定位证明资料，包括但不限于入驻当地机场或购物中心、热门商业街区及名称，产品价格，品牌介绍，大众点评截图等。</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rPr>
          <w:rFonts w:ascii="宋体" w:hAnsi="宋体" w:cs="宋体"/>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公司在成都双流国际机场航站楼经营，由该公司参与成都双流国际机场T2航站楼招商标段</w:t>
      </w:r>
      <w:r>
        <w:rPr>
          <w:rFonts w:ascii="宋体" w:hAnsi="宋体" w:cs="宋体" w:hint="eastAsia"/>
          <w:color w:val="auto"/>
          <w:szCs w:val="21"/>
          <w:highlight w:val="none"/>
          <w:lang w:val="en-US" w:eastAsia="zh-CN"/>
        </w:rPr>
        <w:t>快闪店，标段号</w:t>
      </w:r>
      <w:r>
        <w:rPr>
          <w:rFonts w:ascii="宋体" w:hAnsi="宋体" w:cs="宋体"/>
          <w:color w:val="auto"/>
          <w:szCs w:val="21"/>
          <w:highlight w:val="none"/>
          <w:u w:val="single"/>
        </w:rPr>
        <w:t xml:space="preserve">         </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spacing w:line="360" w:lineRule="auto"/>
        <w:rPr>
          <w:rFonts w:ascii="宋体" w:hAnsi="宋体" w:cs="宋体"/>
          <w:color w:val="auto"/>
          <w:szCs w:val="21"/>
          <w:highlight w:val="none"/>
        </w:rPr>
      </w:pPr>
      <w:bookmarkStart w:id="14" w:name="_Toc25739"/>
      <w:bookmarkStart w:id="15" w:name="_Toc9773"/>
      <w:bookmarkStart w:id="16" w:name="_Toc8152"/>
      <w:bookmarkStart w:id="17" w:name="_Toc9567"/>
      <w:bookmarkStart w:id="18" w:name="_Toc15781"/>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color w:val="auto"/>
          <w:szCs w:val="21"/>
          <w:highlight w:val="none"/>
        </w:rPr>
        <w:t>5.3品牌在国内城市布局情况 </w:t>
      </w:r>
    </w:p>
    <w:p>
      <w:pPr>
        <w:spacing w:line="360" w:lineRule="auto"/>
        <w:rPr>
          <w:rFonts w:ascii="宋体" w:hAnsi="宋体" w:cs="宋体"/>
          <w:color w:val="auto"/>
          <w:sz w:val="18"/>
          <w:szCs w:val="18"/>
          <w:highlight w:val="none"/>
        </w:rPr>
      </w:pPr>
      <w:r>
        <w:rPr>
          <w:rFonts w:ascii="宋体" w:hAnsi="宋体" w:cs="宋体" w:hint="eastAsia"/>
          <w:color w:val="auto"/>
          <w:szCs w:val="21"/>
          <w:highlight w:val="none"/>
          <w:lang w:eastAsia="zh-CN"/>
        </w:rPr>
        <w:t>响应人</w:t>
      </w:r>
      <w:r>
        <w:rPr>
          <w:rFonts w:ascii="宋体" w:hAnsi="宋体" w:cs="宋体"/>
          <w:color w:val="auto"/>
          <w:szCs w:val="21"/>
          <w:highlight w:val="none"/>
        </w:rPr>
        <w:t>投报品牌在国内城市布局数量的承诺函</w:t>
      </w:r>
      <w:r>
        <w:rPr>
          <w:rFonts w:ascii="宋体" w:hAnsi="宋体" w:cs="宋体" w:hint="eastAsia"/>
          <w:color w:val="auto"/>
          <w:szCs w:val="21"/>
          <w:highlight w:val="none"/>
        </w:rPr>
        <w:t>，布局列表证明文件，包括但不限于合同复印件或业主方证明。加盖单位公章。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color w:val="auto"/>
          <w:szCs w:val="21"/>
          <w:highlight w:val="none"/>
        </w:rPr>
        <w:t>5.3.1</w:t>
      </w:r>
      <w:r>
        <w:rPr>
          <w:rFonts w:ascii="宋体" w:hAnsi="宋体" w:cs="宋体" w:hint="eastAsia"/>
          <w:color w:val="auto"/>
          <w:szCs w:val="21"/>
          <w:highlight w:val="none"/>
        </w:rPr>
        <w:t>布局列表</w:t>
      </w:r>
    </w:p>
    <w:tbl>
      <w:tblPr>
        <w:tblStyle w:val="TableNormal"/>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24"/>
        <w:gridCol w:w="2010"/>
        <w:gridCol w:w="2674"/>
        <w:gridCol w:w="2474"/>
      </w:tblGrid>
      <w:tr>
        <w:tblPrEx>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4"/>
          <w:jc w:val="center"/>
        </w:trPr>
        <w:tc>
          <w:tcPr>
            <w:tcW w:w="132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201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经营店面位置</w:t>
            </w:r>
          </w:p>
        </w:tc>
        <w:tc>
          <w:tcPr>
            <w:tcW w:w="267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商圈街道或商业体名称</w:t>
            </w:r>
          </w:p>
        </w:tc>
        <w:tc>
          <w:tcPr>
            <w:tcW w:w="2474" w:type="dxa"/>
            <w:vAlign w:val="center"/>
          </w:tcPr>
          <w:p>
            <w:pPr>
              <w:spacing w:line="360" w:lineRule="auto"/>
              <w:ind w:right="584"/>
              <w:jc w:val="center"/>
              <w:rPr>
                <w:rFonts w:ascii="宋体" w:hAnsi="宋体" w:cs="宋体"/>
                <w:color w:val="auto"/>
                <w:szCs w:val="21"/>
                <w:highlight w:val="none"/>
              </w:rPr>
            </w:pPr>
            <w:r>
              <w:rPr>
                <w:rFonts w:ascii="宋体" w:hAnsi="宋体" w:cs="宋体" w:hint="eastAsia"/>
                <w:color w:val="auto"/>
                <w:szCs w:val="21"/>
                <w:highlight w:val="none"/>
              </w:rPr>
              <w:t>面积(平方米)</w:t>
            </w:r>
          </w:p>
        </w:tc>
      </w:tr>
      <w:tr>
        <w:tblPrEx>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4"/>
          <w:jc w:val="center"/>
        </w:trPr>
        <w:tc>
          <w:tcPr>
            <w:tcW w:w="1324" w:type="dxa"/>
            <w:vAlign w:val="center"/>
          </w:tcPr>
          <w:p>
            <w:pPr>
              <w:spacing w:line="360" w:lineRule="auto"/>
              <w:ind w:left="435"/>
              <w:rPr>
                <w:rFonts w:ascii="宋体" w:hAnsi="宋体" w:cs="宋体"/>
                <w:color w:val="auto"/>
                <w:szCs w:val="21"/>
                <w:highlight w:val="none"/>
              </w:rPr>
            </w:pPr>
            <w:r>
              <w:rPr>
                <w:rFonts w:ascii="宋体" w:hAnsi="宋体" w:cs="宋体" w:hint="eastAsia"/>
                <w:color w:val="auto"/>
                <w:szCs w:val="21"/>
                <w:highlight w:val="none"/>
              </w:rPr>
              <w:t>1</w:t>
            </w:r>
          </w:p>
        </w:tc>
        <w:tc>
          <w:tcPr>
            <w:tcW w:w="201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r>
              <w:rPr>
                <w:rFonts w:ascii="宋体" w:hAnsi="宋体" w:cs="宋体" w:hint="eastAsia"/>
                <w:color w:val="auto"/>
                <w:szCs w:val="21"/>
                <w:highlight w:val="none"/>
              </w:rPr>
              <w:t>店</w:t>
            </w:r>
          </w:p>
        </w:tc>
        <w:tc>
          <w:tcPr>
            <w:tcW w:w="267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成都IFS</w:t>
            </w:r>
          </w:p>
        </w:tc>
        <w:tc>
          <w:tcPr>
            <w:tcW w:w="247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r>
      <w:tr>
        <w:tblPrEx>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4"/>
          <w:jc w:val="center"/>
        </w:trPr>
        <w:tc>
          <w:tcPr>
            <w:tcW w:w="1324" w:type="dxa"/>
            <w:vAlign w:val="center"/>
          </w:tcPr>
          <w:p>
            <w:pPr>
              <w:spacing w:line="360" w:lineRule="auto"/>
              <w:ind w:left="435"/>
              <w:rPr>
                <w:rFonts w:ascii="宋体" w:hAnsi="宋体" w:cs="宋体"/>
                <w:color w:val="auto"/>
                <w:szCs w:val="21"/>
                <w:highlight w:val="none"/>
              </w:rPr>
            </w:pPr>
            <w:r>
              <w:rPr>
                <w:rFonts w:ascii="宋体" w:hAnsi="宋体" w:cs="宋体" w:hint="eastAsia"/>
                <w:color w:val="auto"/>
                <w:szCs w:val="21"/>
                <w:highlight w:val="none"/>
              </w:rPr>
              <w:t>2</w:t>
            </w:r>
          </w:p>
          <w:p>
            <w:pPr>
              <w:spacing w:line="360" w:lineRule="auto"/>
              <w:ind w:left="435"/>
              <w:jc w:val="center"/>
              <w:rPr>
                <w:rFonts w:ascii="宋体" w:hAnsi="宋体" w:cs="宋体"/>
                <w:color w:val="auto"/>
                <w:szCs w:val="21"/>
                <w:highlight w:val="none"/>
              </w:rPr>
            </w:pPr>
          </w:p>
        </w:tc>
        <w:tc>
          <w:tcPr>
            <w:tcW w:w="201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r>
              <w:rPr>
                <w:rFonts w:ascii="宋体" w:hAnsi="宋体" w:cs="宋体" w:hint="eastAsia"/>
                <w:color w:val="auto"/>
                <w:szCs w:val="21"/>
                <w:highlight w:val="none"/>
              </w:rPr>
              <w:t>店</w:t>
            </w:r>
          </w:p>
        </w:tc>
        <w:tc>
          <w:tcPr>
            <w:tcW w:w="267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北京SKP</w:t>
            </w:r>
          </w:p>
        </w:tc>
        <w:tc>
          <w:tcPr>
            <w:tcW w:w="247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r>
      <w:tr>
        <w:tblPrEx>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4"/>
          <w:jc w:val="center"/>
        </w:trPr>
        <w:tc>
          <w:tcPr>
            <w:tcW w:w="1324" w:type="dxa"/>
            <w:vAlign w:val="center"/>
          </w:tcPr>
          <w:p>
            <w:pPr>
              <w:spacing w:line="360" w:lineRule="auto"/>
              <w:ind w:left="435"/>
              <w:rPr>
                <w:rFonts w:ascii="宋体" w:hAnsi="宋体" w:cs="宋体"/>
                <w:color w:val="auto"/>
                <w:szCs w:val="21"/>
                <w:highlight w:val="none"/>
              </w:rPr>
            </w:pPr>
            <w:r>
              <w:rPr>
                <w:rFonts w:ascii="宋体" w:hAnsi="宋体" w:cs="宋体" w:hint="eastAsia"/>
                <w:color w:val="auto"/>
                <w:szCs w:val="21"/>
                <w:highlight w:val="none"/>
              </w:rPr>
              <w:t>3</w:t>
            </w:r>
          </w:p>
          <w:p>
            <w:pPr>
              <w:spacing w:line="360" w:lineRule="auto"/>
              <w:ind w:left="435"/>
              <w:jc w:val="center"/>
              <w:rPr>
                <w:rFonts w:ascii="宋体" w:hAnsi="宋体" w:cs="宋体"/>
                <w:color w:val="auto"/>
                <w:szCs w:val="21"/>
                <w:highlight w:val="none"/>
              </w:rPr>
            </w:pPr>
          </w:p>
        </w:tc>
        <w:tc>
          <w:tcPr>
            <w:tcW w:w="201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XXX店</w:t>
            </w:r>
          </w:p>
        </w:tc>
        <w:tc>
          <w:tcPr>
            <w:tcW w:w="267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上海恒隆广场</w:t>
            </w:r>
          </w:p>
        </w:tc>
        <w:tc>
          <w:tcPr>
            <w:tcW w:w="247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r>
      <w:tr>
        <w:tblPrEx>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4"/>
          <w:jc w:val="center"/>
        </w:trPr>
        <w:tc>
          <w:tcPr>
            <w:tcW w:w="1324" w:type="dxa"/>
            <w:vAlign w:val="center"/>
          </w:tcPr>
          <w:p>
            <w:pPr>
              <w:spacing w:line="360" w:lineRule="auto"/>
              <w:ind w:left="435"/>
              <w:rPr>
                <w:rFonts w:ascii="宋体" w:hAnsi="宋体" w:cs="宋体"/>
                <w:color w:val="auto"/>
                <w:szCs w:val="21"/>
                <w:highlight w:val="none"/>
              </w:rPr>
            </w:pPr>
            <w:r>
              <w:rPr>
                <w:rFonts w:ascii="宋体" w:hAnsi="宋体" w:cs="宋体" w:hint="eastAsia"/>
                <w:color w:val="auto"/>
                <w:szCs w:val="21"/>
                <w:highlight w:val="none"/>
              </w:rPr>
              <w:t>4</w:t>
            </w:r>
          </w:p>
          <w:p>
            <w:pPr>
              <w:spacing w:line="360" w:lineRule="auto"/>
              <w:ind w:left="435"/>
              <w:jc w:val="center"/>
              <w:rPr>
                <w:rFonts w:ascii="宋体" w:hAnsi="宋体" w:cs="宋体"/>
                <w:color w:val="auto"/>
                <w:szCs w:val="21"/>
                <w:highlight w:val="none"/>
              </w:rPr>
            </w:pPr>
          </w:p>
        </w:tc>
        <w:tc>
          <w:tcPr>
            <w:tcW w:w="201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2674"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2474"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r>
      <w:tr>
        <w:tblPrEx>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4"/>
          <w:jc w:val="center"/>
        </w:trPr>
        <w:tc>
          <w:tcPr>
            <w:tcW w:w="132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2674"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2474"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r>
    </w:tbl>
    <w:p>
      <w:pPr>
        <w:spacing w:line="360" w:lineRule="auto"/>
        <w:rPr>
          <w:rFonts w:ascii="宋体" w:hAnsi="宋体" w:cs="宋体"/>
          <w:color w:val="auto"/>
          <w:szCs w:val="21"/>
          <w:highlight w:val="none"/>
        </w:rPr>
      </w:pPr>
      <w:r>
        <w:rPr>
          <w:rFonts w:ascii="宋体" w:hAnsi="宋体" w:cs="宋体" w:hint="eastAsia"/>
          <w:color w:val="auto"/>
          <w:szCs w:val="21"/>
          <w:highlight w:val="none"/>
        </w:rPr>
        <w:t>若</w:t>
      </w:r>
      <w:r>
        <w:rPr>
          <w:rFonts w:ascii="宋体" w:hAnsi="宋体" w:cs="宋体" w:hint="eastAsia"/>
          <w:color w:val="auto"/>
          <w:szCs w:val="21"/>
          <w:highlight w:val="none"/>
          <w:lang w:eastAsia="zh-CN"/>
        </w:rPr>
        <w:t>响应人</w:t>
      </w:r>
      <w:r>
        <w:rPr>
          <w:rFonts w:ascii="宋体" w:hAnsi="宋体" w:cs="宋体"/>
          <w:color w:val="auto"/>
          <w:szCs w:val="21"/>
          <w:highlight w:val="none"/>
        </w:rPr>
        <w:t>投报品牌</w:t>
      </w:r>
      <w:r>
        <w:rPr>
          <w:rFonts w:ascii="宋体" w:hAnsi="宋体" w:cs="宋体" w:hint="eastAsia"/>
          <w:color w:val="auto"/>
          <w:szCs w:val="21"/>
          <w:highlight w:val="none"/>
        </w:rPr>
        <w:t>没有</w:t>
      </w:r>
      <w:r>
        <w:rPr>
          <w:rFonts w:ascii="宋体" w:hAnsi="宋体" w:cs="宋体"/>
          <w:color w:val="auto"/>
          <w:szCs w:val="21"/>
          <w:highlight w:val="none"/>
        </w:rPr>
        <w:t>在国内城市布局</w:t>
      </w:r>
      <w:r>
        <w:rPr>
          <w:rFonts w:ascii="宋体" w:hAnsi="宋体" w:cs="宋体" w:hint="eastAsia"/>
          <w:color w:val="auto"/>
          <w:szCs w:val="21"/>
          <w:highlight w:val="none"/>
        </w:rPr>
        <w:t>，可不提供此方面材料。</w:t>
      </w:r>
    </w:p>
    <w:p>
      <w:pPr>
        <w:pStyle w:val="a"/>
        <w:rPr>
          <w:color w:val="auto"/>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outlineLvl w:val="0"/>
        <w:rPr>
          <w:rFonts w:ascii="宋体" w:hAnsi="宋体" w:cs="宋体"/>
          <w:color w:val="auto"/>
          <w:szCs w:val="21"/>
          <w:highlight w:val="none"/>
        </w:rPr>
      </w:pPr>
      <w:bookmarkStart w:id="19" w:name="_Toc31508"/>
      <w:r>
        <w:rPr>
          <w:rFonts w:ascii="宋体" w:hAnsi="宋体" w:cs="宋体"/>
          <w:color w:val="auto"/>
          <w:szCs w:val="21"/>
          <w:highlight w:val="none"/>
        </w:rPr>
        <w:t>5.3.2</w:t>
      </w:r>
      <w:r>
        <w:rPr>
          <w:rFonts w:ascii="宋体" w:hAnsi="宋体" w:cs="宋体" w:hint="eastAsia"/>
          <w:color w:val="auto"/>
          <w:szCs w:val="21"/>
          <w:highlight w:val="none"/>
        </w:rPr>
        <w:t>布局列表的证明文件，包括但不限于合同复印件或业主方证明。</w:t>
      </w:r>
      <w:bookmarkEnd w:id="19"/>
    </w:p>
    <w:p>
      <w:pPr>
        <w:pStyle w:val="a"/>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color w:val="auto"/>
          <w:szCs w:val="21"/>
          <w:highlight w:val="none"/>
        </w:rPr>
        <w:t>5.4</w:t>
      </w:r>
      <w:r>
        <w:rPr>
          <w:rFonts w:ascii="宋体" w:hAnsi="宋体" w:cs="宋体" w:hint="eastAsia"/>
          <w:color w:val="auto"/>
          <w:szCs w:val="21"/>
          <w:highlight w:val="none"/>
        </w:rPr>
        <w:t>品牌坪效证明</w:t>
      </w:r>
    </w:p>
    <w:p>
      <w:pPr>
        <w:spacing w:line="360" w:lineRule="auto"/>
        <w:ind w:firstLine="420"/>
        <w:jc w:val="left"/>
        <w:outlineLvl w:val="3"/>
        <w:rPr>
          <w:rFonts w:ascii="宋体" w:eastAsia="宋体" w:hAnsi="宋体" w:cs="宋体" w:hint="eastAsia"/>
          <w:color w:val="auto"/>
          <w:szCs w:val="21"/>
          <w:highlight w:val="none"/>
          <w:lang w:eastAsia="zh-CN"/>
        </w:rPr>
      </w:pPr>
      <w:bookmarkStart w:id="20" w:name="_Toc27862"/>
      <w:bookmarkEnd w:id="20"/>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spacing w:line="360" w:lineRule="auto"/>
        <w:outlineLvl w:val="0"/>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ListParagraph"/>
        <w:numPr>
          <w:ilvl w:val="0"/>
          <w:numId w:val="0"/>
        </w:numPr>
        <w:rPr>
          <w:rFonts w:ascii="宋体" w:hAnsi="宋体" w:cs="宋体"/>
          <w:b/>
          <w:bCs/>
          <w:color w:val="auto"/>
          <w:sz w:val="21"/>
          <w:szCs w:val="21"/>
          <w:highlight w:val="none"/>
        </w:rPr>
      </w:pPr>
      <w:bookmarkEnd w:id="14"/>
      <w:bookmarkEnd w:id="15"/>
      <w:bookmarkEnd w:id="16"/>
      <w:bookmarkEnd w:id="17"/>
      <w:bookmarkEnd w:id="18"/>
      <w:bookmarkStart w:id="21" w:name="_Toc30930"/>
      <w:r>
        <w:rPr>
          <w:rFonts w:ascii="宋体" w:hAnsi="宋体" w:cs="宋体" w:hint="eastAsia"/>
          <w:b/>
          <w:bCs/>
          <w:color w:val="auto"/>
          <w:sz w:val="21"/>
          <w:szCs w:val="21"/>
          <w:highlight w:val="none"/>
        </w:rPr>
        <w:t>6.</w:t>
      </w:r>
      <w:r>
        <w:rPr>
          <w:rFonts w:ascii="宋体" w:hAnsi="宋体" w:cs="宋体" w:hint="eastAsia"/>
          <w:b/>
          <w:bCs/>
          <w:color w:val="auto"/>
          <w:sz w:val="21"/>
          <w:szCs w:val="21"/>
          <w:highlight w:val="none"/>
          <w:lang w:eastAsia="zh-CN"/>
        </w:rPr>
        <w:t>响应人</w:t>
      </w:r>
      <w:r>
        <w:rPr>
          <w:rFonts w:ascii="宋体" w:hAnsi="宋体" w:cs="宋体" w:hint="eastAsia"/>
          <w:b/>
          <w:bCs/>
          <w:color w:val="auto"/>
          <w:sz w:val="21"/>
          <w:szCs w:val="21"/>
          <w:highlight w:val="none"/>
        </w:rPr>
        <w:t>须提供的其他资料</w:t>
      </w:r>
      <w:bookmarkEnd w:id="21"/>
    </w:p>
    <w:p>
      <w:pPr>
        <w:pStyle w:val="a"/>
        <w:rPr>
          <w:rFonts w:ascii="宋体" w:hAnsi="宋体" w:cs="宋体"/>
          <w:color w:val="auto"/>
          <w:sz w:val="21"/>
          <w:szCs w:val="21"/>
          <w:highlight w:val="none"/>
        </w:rPr>
      </w:pPr>
      <w:r>
        <w:rPr>
          <w:rFonts w:ascii="宋体" w:hAnsi="宋体" w:cs="宋体" w:hint="eastAsia"/>
          <w:color w:val="auto"/>
          <w:sz w:val="21"/>
          <w:szCs w:val="21"/>
          <w:highlight w:val="none"/>
        </w:rPr>
        <w:t>（1）对标承诺书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jc w:val="center"/>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hAnsi="宋体" w:cs="宋体" w:hint="eastAsia"/>
          <w:color w:val="auto"/>
          <w:kern w:val="2"/>
          <w:szCs w:val="21"/>
          <w:highlight w:val="none"/>
          <w:lang w:val="en-US" w:eastAsia="zh-CN"/>
        </w:rPr>
      </w:pPr>
      <w:r>
        <w:rPr>
          <w:rFonts w:ascii="宋体" w:hAnsi="宋体" w:cs="宋体" w:hint="eastAsia"/>
          <w:color w:val="auto"/>
          <w:kern w:val="2"/>
          <w:szCs w:val="21"/>
          <w:highlight w:val="none"/>
          <w:lang w:val="en-US" w:eastAsia="zh-CN"/>
        </w:rPr>
        <w:t>（2）首店证明材料</w:t>
      </w:r>
    </w:p>
    <w:p>
      <w:pPr>
        <w:pStyle w:val="BodyText"/>
        <w:ind w:firstLine="420"/>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w:t>
      </w:r>
      <w:r>
        <w:rPr>
          <w:rFonts w:ascii="宋体" w:hAnsi="宋体" w:hint="eastAsia"/>
          <w:b/>
          <w:bCs/>
          <w:color w:val="auto"/>
          <w:highlight w:val="none"/>
          <w:u w:val="single"/>
          <w:lang w:val="en-US" w:eastAsia="zh-CN"/>
        </w:rPr>
        <w:t xml:space="preserve">     </w:t>
      </w:r>
      <w:r>
        <w:rPr>
          <w:rFonts w:ascii="宋体" w:hAnsi="宋体" w:hint="eastAsia"/>
          <w:color w:val="auto"/>
          <w:highlight w:val="none"/>
        </w:rPr>
        <w:t>, 面积</w:t>
      </w:r>
      <w:r>
        <w:rPr>
          <w:rFonts w:ascii="宋体" w:hAnsi="宋体" w:hint="eastAsia"/>
          <w:color w:val="auto"/>
          <w:highlight w:val="none"/>
          <w:u w:val="single"/>
          <w:lang w:val="en-US" w:eastAsia="zh-CN"/>
        </w:rPr>
        <w:t xml:space="preserve">    </w:t>
      </w:r>
      <w:r>
        <w:rPr>
          <w:rFonts w:ascii="宋体" w:hAnsi="宋体" w:hint="eastAsia"/>
          <w:color w:val="auto"/>
          <w:highlight w:val="none"/>
        </w:rPr>
        <w:t>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numPr>
          <w:ilvl w:val="0"/>
          <w:numId w:val="0"/>
        </w:numPr>
        <w:spacing w:line="360" w:lineRule="auto"/>
        <w:rPr>
          <w:rFonts w:ascii="宋体" w:hAnsi="宋体" w:cs="宋体" w:hint="eastAsia"/>
          <w:bCs/>
          <w:color w:val="auto"/>
          <w:szCs w:val="21"/>
          <w:highlight w:val="none"/>
        </w:rPr>
      </w:pPr>
    </w:p>
    <w:p>
      <w:pPr>
        <w:pStyle w:val="a"/>
        <w:numPr>
          <w:ilvl w:val="0"/>
          <w:numId w:val="0"/>
        </w:numPr>
        <w:spacing w:line="360" w:lineRule="auto"/>
        <w:rPr>
          <w:rFonts w:ascii="宋体" w:hAnsi="宋体" w:cs="宋体" w:hint="eastAsia"/>
          <w:bCs/>
          <w:color w:val="auto"/>
          <w:szCs w:val="21"/>
          <w:highlight w:val="none"/>
        </w:rPr>
      </w:pPr>
    </w:p>
    <w:p>
      <w:pPr>
        <w:pStyle w:val="a"/>
        <w:numPr>
          <w:ilvl w:val="0"/>
          <w:numId w:val="0"/>
        </w:numPr>
        <w:spacing w:line="360" w:lineRule="auto"/>
        <w:rPr>
          <w:rFonts w:ascii="宋体" w:hAnsi="宋体" w:cs="宋体" w:hint="eastAsia"/>
          <w:bCs/>
          <w:color w:val="auto"/>
          <w:szCs w:val="21"/>
          <w:highlight w:val="none"/>
        </w:rPr>
      </w:pPr>
    </w:p>
    <w:p>
      <w:pPr>
        <w:pStyle w:val="a"/>
        <w:numPr>
          <w:ilvl w:val="0"/>
          <w:numId w:val="0"/>
        </w:numPr>
        <w:spacing w:line="360" w:lineRule="auto"/>
        <w:rPr>
          <w:rFonts w:ascii="宋体" w:hAnsi="宋体" w:cs="宋体" w:hint="eastAsia"/>
          <w:bCs/>
          <w:color w:val="auto"/>
          <w:szCs w:val="21"/>
          <w:highlight w:val="none"/>
        </w:rPr>
      </w:pPr>
    </w:p>
    <w:p>
      <w:pPr>
        <w:pStyle w:val="a"/>
        <w:numPr>
          <w:ilvl w:val="0"/>
          <w:numId w:val="0"/>
        </w:numPr>
        <w:spacing w:line="360" w:lineRule="auto"/>
        <w:rPr>
          <w:rFonts w:ascii="宋体" w:hAnsi="宋体" w:cs="宋体" w:hint="eastAsia"/>
          <w:bCs/>
          <w:color w:val="auto"/>
          <w:szCs w:val="21"/>
          <w:highlight w:val="none"/>
        </w:rPr>
      </w:pPr>
    </w:p>
    <w:p>
      <w:pPr>
        <w:pStyle w:val="a"/>
        <w:numPr>
          <w:ilvl w:val="0"/>
          <w:numId w:val="0"/>
        </w:numPr>
        <w:spacing w:line="360" w:lineRule="auto"/>
        <w:rPr>
          <w:rFonts w:ascii="宋体" w:hAnsi="宋体" w:cs="宋体" w:hint="eastAsia"/>
          <w:bCs/>
          <w:color w:val="auto"/>
          <w:szCs w:val="21"/>
          <w:highlight w:val="none"/>
        </w:rPr>
      </w:pPr>
    </w:p>
    <w:p>
      <w:pPr>
        <w:pStyle w:val="a"/>
        <w:numPr>
          <w:ilvl w:val="0"/>
          <w:numId w:val="0"/>
        </w:numPr>
        <w:spacing w:line="360" w:lineRule="auto"/>
        <w:rPr>
          <w:rFonts w:ascii="宋体" w:hAnsi="宋体" w:cs="宋体" w:hint="eastAsia"/>
          <w:bCs/>
          <w:color w:val="auto"/>
          <w:szCs w:val="21"/>
          <w:highlight w:val="none"/>
        </w:rPr>
      </w:pPr>
    </w:p>
    <w:p>
      <w:pPr>
        <w:spacing w:line="360" w:lineRule="auto"/>
        <w:outlineLvl w:val="2"/>
        <w:rPr>
          <w:rFonts w:ascii="宋体" w:eastAsia="宋体" w:hAnsi="宋体" w:cs="宋体"/>
          <w:b/>
          <w:bCs/>
          <w:color w:val="auto"/>
          <w:szCs w:val="21"/>
          <w:highlight w:val="none"/>
        </w:rPr>
      </w:pP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pStyle w:val="a"/>
        <w:numPr>
          <w:ilvl w:val="0"/>
          <w:numId w:val="0"/>
        </w:numPr>
        <w:spacing w:line="360" w:lineRule="auto"/>
        <w:rPr>
          <w:rFonts w:ascii="宋体" w:hAnsi="宋体" w:cs="宋体" w:hint="eastAsia"/>
          <w:color w:val="auto"/>
          <w:kern w:val="2"/>
          <w:sz w:val="21"/>
          <w:szCs w:val="21"/>
          <w:highlight w:val="none"/>
          <w:lang w:val="en-US"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0"/>
          <w:numId w:val="0"/>
        </w:numPr>
        <w:spacing w:line="360" w:lineRule="auto"/>
        <w:rPr>
          <w:rFonts w:ascii="宋体" w:hAnsi="宋体" w:cs="宋体"/>
          <w:bCs/>
          <w:color w:val="auto"/>
          <w:szCs w:val="21"/>
          <w:highlight w:val="none"/>
        </w:rPr>
      </w:pPr>
      <w:r>
        <w:rPr>
          <w:rFonts w:ascii="宋体" w:hAnsi="宋体" w:cs="宋体" w:hint="eastAsia"/>
          <w:bCs/>
          <w:color w:val="auto"/>
          <w:szCs w:val="21"/>
          <w:highlight w:val="none"/>
        </w:rPr>
        <w:br w:type="page"/>
      </w:r>
    </w:p>
    <w:p>
      <w:pPr>
        <w:spacing w:line="360" w:lineRule="auto"/>
        <w:outlineLvl w:val="1"/>
        <w:rPr>
          <w:rFonts w:ascii="宋体" w:hAnsi="宋体" w:cs="宋体"/>
          <w:b/>
          <w:bCs/>
          <w:color w:val="auto"/>
          <w:sz w:val="24"/>
          <w:highlight w:val="none"/>
        </w:rPr>
      </w:pPr>
      <w:bookmarkStart w:id="22" w:name="_Toc12614"/>
      <w:r>
        <w:rPr>
          <w:rFonts w:ascii="宋体" w:hAnsi="宋体" w:cs="宋体" w:hint="eastAsia"/>
          <w:b/>
          <w:bCs/>
          <w:color w:val="auto"/>
          <w:szCs w:val="21"/>
          <w:highlight w:val="none"/>
        </w:rPr>
        <w:t>二、</w:t>
      </w:r>
      <w:bookmarkEnd w:id="7"/>
      <w:bookmarkEnd w:id="8"/>
      <w:bookmarkEnd w:id="9"/>
      <w:bookmarkEnd w:id="22"/>
      <w:bookmarkStart w:id="23" w:name="_Toc12831"/>
      <w:r>
        <w:rPr>
          <w:rFonts w:ascii="宋体" w:hAnsi="宋体" w:cs="宋体" w:hint="eastAsia"/>
          <w:b/>
          <w:bCs/>
          <w:color w:val="auto"/>
          <w:sz w:val="24"/>
          <w:highlight w:val="none"/>
        </w:rPr>
        <w:t>商务方案分册</w:t>
      </w:r>
      <w:bookmarkEnd w:id="23"/>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快闪店</w:t>
      </w:r>
      <w:r>
        <w:rPr>
          <w:rFonts w:ascii="宋体" w:hAnsi="宋体" w:cs="宋体" w:hint="eastAsia"/>
          <w:b/>
          <w:bCs/>
          <w:color w:val="auto"/>
          <w:sz w:val="28"/>
          <w:szCs w:val="28"/>
          <w:highlight w:val="none"/>
        </w:rPr>
        <w:t>商务报价表</w:t>
      </w:r>
    </w:p>
    <w:p>
      <w:pPr>
        <w:spacing w:line="360" w:lineRule="auto"/>
        <w:jc w:val="center"/>
        <w:rPr>
          <w:color w:val="auto"/>
          <w:highlight w:val="none"/>
        </w:rPr>
      </w:pP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EF-KS-2</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8"/>
        </w:trPr>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经营期限</w:t>
            </w:r>
          </w:p>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不超过</w:t>
            </w:r>
            <w:r>
              <w:rPr>
                <w:rFonts w:ascii="宋体" w:hAnsi="宋体" w:cs="宋体" w:hint="eastAsia"/>
                <w:b/>
                <w:bCs/>
                <w:color w:val="auto"/>
                <w:szCs w:val="21"/>
                <w:highlight w:val="none"/>
                <w:lang w:val="en-US" w:eastAsia="zh-CN"/>
              </w:rPr>
              <w:t>一年</w:t>
            </w:r>
            <w:r>
              <w:rPr>
                <w:rFonts w:ascii="宋体" w:hAnsi="宋体" w:cs="宋体" w:hint="eastAsia"/>
                <w:color w:val="auto"/>
                <w:szCs w:val="21"/>
                <w:highlight w:val="none"/>
                <w:lang w:val="en-US" w:eastAsia="zh-CN"/>
              </w:rPr>
              <w:t>（不含装修免租期），响应人可自行申报</w:t>
            </w:r>
            <w:r>
              <w:rPr>
                <w:rFonts w:ascii="宋体" w:hAnsi="宋体" w:cs="宋体" w:hint="eastAsia"/>
                <w:color w:val="auto"/>
                <w:szCs w:val="21"/>
                <w:highlight w:val="none"/>
                <w:lang w:eastAsia="zh-CN"/>
              </w:rPr>
              <w:t>）</w:t>
            </w:r>
          </w:p>
        </w:tc>
        <w:tc>
          <w:tcPr>
            <w:tcW w:w="6227" w:type="dxa"/>
            <w:vAlign w:val="center"/>
          </w:tcPr>
          <w:p>
            <w:pPr>
              <w:pStyle w:val="a"/>
              <w:jc w:val="both"/>
              <w:rPr>
                <w:rFonts w:hint="default"/>
                <w:lang w:val="en-US" w:eastAsia="zh-CN"/>
              </w:rPr>
            </w:pPr>
            <w:r>
              <w:rPr>
                <w:rFonts w:hint="eastAsia"/>
                <w:lang w:val="en-US" w:eastAsia="zh-CN"/>
              </w:rPr>
              <w:t xml:space="preserve">               </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u w:val="none"/>
                <w:lang w:val="en-US" w:eastAsia="zh-CN"/>
              </w:rPr>
              <w:t>月（≤</w:t>
            </w:r>
            <w:r>
              <w:rPr>
                <w:rFonts w:hint="eastAsia"/>
                <w:lang w:val="en-US" w:eastAsia="zh-CN"/>
              </w:rPr>
              <w:t>12）</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双流机场T</w:t>
            </w:r>
            <w:r>
              <w:rPr>
                <w:rFonts w:asciiTheme="minorEastAsia" w:eastAsiaTheme="minorEastAsia" w:hAnsiTheme="minorEastAsia" w:cs="宋体"/>
                <w:color w:val="auto"/>
                <w:szCs w:val="21"/>
                <w:highlight w:val="none"/>
              </w:rPr>
              <w: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color w:val="auto"/>
                <w:szCs w:val="21"/>
                <w:highlight w:val="none"/>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销售额提成比例</w:t>
            </w:r>
          </w:p>
        </w:tc>
        <w:tc>
          <w:tcPr>
            <w:tcW w:w="6227" w:type="dxa"/>
            <w:vAlign w:val="center"/>
          </w:tcPr>
          <w:p>
            <w:pPr>
              <w:pStyle w:val="a"/>
              <w:spacing w:line="360" w:lineRule="auto"/>
              <w:ind w:firstLine="1680"/>
              <w:jc w:val="both"/>
              <w:rPr>
                <w:rFonts w:ascii="宋体" w:hAnsi="宋体" w:cs="宋体"/>
                <w:color w:val="auto"/>
                <w:sz w:val="21"/>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w:t>
            </w:r>
            <w:r>
              <w:rPr>
                <w:rFonts w:asciiTheme="minorEastAsia" w:eastAsiaTheme="minorEastAsia" w:hAnsiTheme="minorEastAsia" w:cs="宋体" w:hint="eastAsia"/>
                <w:color w:val="auto"/>
                <w:szCs w:val="21"/>
                <w:highlight w:val="none"/>
              </w:rPr>
              <w:t>T</w:t>
            </w:r>
            <w:r>
              <w:rPr>
                <w:rFonts w:asciiTheme="minorEastAsia" w:eastAsiaTheme="minorEastAsia" w:hAnsiTheme="minorEastAsia" w:cs="宋体"/>
                <w:color w:val="auto"/>
                <w:szCs w:val="21"/>
                <w:highlight w:val="none"/>
              </w:rPr>
              <w: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color w:val="auto"/>
                <w:szCs w:val="21"/>
                <w:highlight w:val="none"/>
              </w:rPr>
              <w:t>231.7</w:t>
            </w:r>
            <w:r>
              <w:rPr>
                <w:rFonts w:asciiTheme="minorEastAsia" w:eastAsiaTheme="minorEastAsia" w:hAnsiTheme="minorEastAsia" w:cs="宋体" w:hint="eastAsia"/>
                <w:color w:val="auto"/>
                <w:szCs w:val="21"/>
                <w:highlight w:val="none"/>
              </w:rPr>
              <w:t>万人次</w:t>
            </w:r>
            <w:r>
              <w:rPr>
                <w:rFonts w:ascii="宋体" w:hAnsi="宋体" w:cs="宋体" w:hint="eastAsia"/>
                <w:color w:val="auto"/>
                <w:szCs w:val="21"/>
                <w:highlight w:val="none"/>
              </w:rPr>
              <w:t>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2</w:t>
            </w:r>
            <w:r>
              <w:rPr>
                <w:rFonts w:ascii="宋体" w:hAnsi="宋体" w:cs="宋体" w:hint="eastAsia"/>
                <w:color w:val="auto"/>
                <w:sz w:val="21"/>
                <w:szCs w:val="21"/>
                <w:highlight w:val="none"/>
              </w:rPr>
              <w:t>、经营费用计算均以人民币为单位。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3</w:t>
            </w:r>
            <w:r>
              <w:rPr>
                <w:rFonts w:ascii="宋体" w:hAnsi="宋体" w:cs="宋体" w:hint="eastAsia"/>
                <w:color w:val="auto"/>
                <w:szCs w:val="21"/>
                <w:highlight w:val="none"/>
              </w:rPr>
              <w:t>、销售额提成比例填报取整。</w:t>
            </w:r>
          </w:p>
        </w:tc>
      </w:tr>
    </w:tbl>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WM4MmVkOTA1MjFjYzMwZWNmZGFhODliZDBjZWU4YWMifQ=="/>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uiPriority w:val="99"/>
    <w:qFormat/>
    <w:pPr>
      <w:ind w:firstLine="420"/>
    </w:pPr>
  </w:style>
  <w:style w:type="paragraph" w:customStyle="1" w:styleId="a0">
    <w:name w:val="居中"/>
    <w:basedOn w:val="Normal"/>
    <w:qFormat/>
    <w:pPr>
      <w:spacing w:before="120"/>
      <w:jc w:val="center"/>
    </w:pPr>
    <w:rPr>
      <w:rFonts w:eastAsia="黑体"/>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26</Pages>
  <Words>4476</Words>
  <Characters>4762</Characters>
  <Application>Microsoft Office Word</Application>
  <DocSecurity>0</DocSecurity>
  <Lines>0</Lines>
  <Paragraphs>0</Paragraphs>
  <ScaleCrop>false</ScaleCrop>
  <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2026-05-06T05:51:58Z</cp:lastPrinted>
  <dcterms:created xsi:type="dcterms:W3CDTF">2024-05-22T06:19:00Z</dcterms:created>
  <dcterms:modified xsi:type="dcterms:W3CDTF">2026-05-06T05:59:48Z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804ED1CC04644A14AD5D4D9237DA886E_12</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