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ascii="黑体" w:eastAsia="黑体" w:hAnsi="黑体" w:cs="黑体" w:hint="eastAsia"/>
          <w:b/>
          <w:bCs/>
          <w:i w:val="0"/>
          <w:strike w:val="0"/>
          <w:color w:val="000000"/>
          <w:spacing w:val="0"/>
          <w:sz w:val="28"/>
          <w:szCs w:val="28"/>
          <w:u w:val="none"/>
        </w:rPr>
      </w:pPr>
      <w:bookmarkStart w:id="0" w:name="_GoBack"/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eastAsia="方正小标宋_GBK" w:hAnsi="方正小标宋_GBK" w:cs="方正小标宋_GBK" w:hint="default"/>
          <w:b w:val="0"/>
          <w:bCs w:val="0"/>
          <w:i w:val="0"/>
          <w:strike w:val="0"/>
          <w:color w:val="000000"/>
          <w:spacing w:val="0"/>
          <w:sz w:val="32"/>
          <w:szCs w:val="32"/>
          <w:u w:val="none"/>
          <w:lang w:val="en-US" w:eastAsia="zh-CN"/>
        </w:rPr>
      </w:pPr>
      <w:bookmarkEnd w:id="0"/>
      <w:r>
        <w:rPr>
          <w:rFonts w:ascii="方正小标宋_GBK" w:eastAsia="方正小标宋_GBK" w:hAnsi="方正小标宋_GBK" w:cs="方正小标宋_GBK" w:hint="eastAsia"/>
          <w:b w:val="0"/>
          <w:bCs w:val="0"/>
          <w:i w:val="0"/>
          <w:strike w:val="0"/>
          <w:color w:val="000000"/>
          <w:spacing w:val="0"/>
          <w:sz w:val="32"/>
          <w:szCs w:val="32"/>
          <w:u w:val="none"/>
        </w:rPr>
        <w:t>报名资料清单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eastAsia="方正小标宋_GBK" w:hAnsi="方正小标宋_GBK" w:cs="方正小标宋_GBK" w:hint="eastAsia"/>
          <w:b/>
          <w:bCs/>
          <w:i w:val="0"/>
          <w:strike w:val="0"/>
          <w:color w:val="000000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</w:rPr>
        <w:t>一、基本材料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1.合作申请书（参见附件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），加盖公章；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2.企业营业执照、税务登记证、组织机构代码证副本（或有统一企业社会信用代码的三证合一经营执照副本）复印件加盖公章；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3.法定代表人授权委托书、法定代表人身份证复印件、被授权人身份证复印件；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4.符合报名条件承诺书（参见附件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），加盖公章；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5.未被列入严重违法失信企业名单（黑名单）截图，加盖公章。</w:t>
      </w:r>
    </w:p>
    <w:p>
      <w:pPr>
        <w:ind w:left="0" w:firstLine="560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</w:rPr>
        <w:t>二、财务</w:t>
      </w:r>
      <w:r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状况要求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（备注：必须是合同主体单位，分公司可用总公司资料参评，子公司不可用母公司资料参评）</w:t>
      </w:r>
    </w:p>
    <w:p>
      <w:pPr>
        <w:ind w:left="0" w:firstLine="560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申请人须满足以下资质条件，并提供相应证明文件：</w:t>
      </w:r>
    </w:p>
    <w:p>
      <w:pPr>
        <w:ind w:left="0" w:firstLine="560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财务状况良好，提供由会计师事务所出具的、审计日期在2024年1月1日之后的财务审计报告。</w:t>
      </w:r>
    </w:p>
    <w:p>
      <w:pPr>
        <w:ind w:left="0" w:firstLine="560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申请人注册资本不低于人民币100万元。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</w:rPr>
        <w:t>三、经营业绩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申请人须具备高端场景服务经验，能提供以下至少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项自202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年1月1日以来签署并成功运营的同类项目业绩证明：​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合同范本：与国内外千万级机场</w:t>
      </w: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或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五星级酒店、高端商业综合体或高档私人会所签订的雪茄吧、威士忌吧、高端精品零售店等运营管理合同。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</w:pPr>
      <w:r>
        <w:rPr>
          <w:rFonts w:cs="仿宋_GB2312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i w:val="0"/>
          <w:strike w:val="0"/>
          <w:color w:val="000000"/>
          <w:spacing w:val="0"/>
          <w:sz w:val="28"/>
          <w:szCs w:val="28"/>
          <w:u w:val="none"/>
        </w:rPr>
        <w:t>证明文件：须提供合同关键页（含合同金额、服务内容、双方签章）及至少一张对应项目的付款发票复印件作为证明。（所有复印件需加盖公章）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ascii="黑体" w:eastAsia="黑体" w:hAnsi="黑体" w:cs="黑体" w:hint="eastAsia"/>
          <w:i w:val="0"/>
          <w:strike w:val="0"/>
          <w:color w:val="000000"/>
          <w:spacing w:val="0"/>
          <w:sz w:val="28"/>
          <w:szCs w:val="28"/>
          <w:u w:val="none"/>
          <w:lang w:val="en-US" w:eastAsia="zh-CN"/>
        </w:rPr>
        <w:t>四、专业团队资质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/>
        </w:rPr>
      </w:pPr>
      <w:r>
        <w:rPr>
          <w:rFonts w:ascii="仿宋_GB2312" w:eastAsia="仿宋_GB2312" w:hAnsi="仿宋_GB2312" w:cstheme="minorBidi" w:hint="eastAsia"/>
          <w:i w:val="0"/>
          <w:strike w:val="0"/>
          <w:kern w:val="2"/>
          <w:sz w:val="28"/>
          <w:szCs w:val="28"/>
          <w:u w:val="none"/>
          <w:lang w:val="en-US" w:eastAsia="zh-CN" w:bidi="ar-SA"/>
        </w:rPr>
        <w:t>驻场该项目的团队成员</w:t>
      </w:r>
      <w:r>
        <w:rPr>
          <w:rFonts w:cstheme="minorBidi" w:hint="eastAsia"/>
          <w:i w:val="0"/>
          <w:strike w:val="0"/>
          <w:kern w:val="2"/>
          <w:sz w:val="28"/>
          <w:szCs w:val="28"/>
          <w:u w:val="none"/>
          <w:lang w:val="en-US" w:eastAsia="zh-CN" w:bidi="ar-SA"/>
        </w:rPr>
        <w:t>中须包含</w:t>
      </w:r>
      <w:r>
        <w:rPr>
          <w:rFonts w:ascii="仿宋_GB2312" w:eastAsia="仿宋_GB2312" w:hAnsi="仿宋_GB2312" w:cstheme="minorBidi" w:hint="eastAsia"/>
          <w:i w:val="0"/>
          <w:strike w:val="0"/>
          <w:kern w:val="2"/>
          <w:sz w:val="28"/>
          <w:szCs w:val="28"/>
          <w:u w:val="none"/>
          <w:lang w:val="en-US" w:eastAsia="zh-CN" w:bidi="ar-SA"/>
        </w:rPr>
        <w:t>持有中国烟草协会颁发的“中国侍茄师能力认证证书”的侍茄师</w:t>
      </w:r>
      <w:r>
        <w:rPr>
          <w:rFonts w:cstheme="minorBidi" w:hint="eastAsia"/>
          <w:i w:val="0"/>
          <w:strike w:val="0"/>
          <w:kern w:val="2"/>
          <w:sz w:val="28"/>
          <w:szCs w:val="28"/>
          <w:u w:val="none"/>
          <w:lang w:val="en-US" w:eastAsia="zh-CN" w:bidi="ar-SA"/>
        </w:rPr>
        <w:t>。须提供证书复印件，</w:t>
      </w:r>
      <w:r>
        <w:rPr>
          <w:rFonts w:hint="eastAsia"/>
          <w:sz w:val="28"/>
          <w:szCs w:val="28"/>
          <w:lang/>
        </w:rPr>
        <w:t>复印件须清晰可辨并加盖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  <w:lang/>
        </w:rPr>
        <w:t>人单位公章。</w:t>
      </w:r>
    </w:p>
    <w:p>
      <w:pPr>
        <w:ind w:left="0" w:firstLine="560"/>
        <w:rPr>
          <w:rFonts w:ascii="黑体" w:eastAsia="黑体" w:hAnsi="黑体" w:cs="黑体" w:hint="eastAsia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五、商业资源与供应链能力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申请人须提供以下证明文件：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与中国烟草总公司或其省级公司有效的烟草专卖零售许可证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/>
          <w:sz w:val="28"/>
          <w:szCs w:val="28"/>
        </w:rPr>
        <w:t>合作协议。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/>
        </w:rPr>
        <w:t>提供由国际知名雪茄品牌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包括但不限于</w:t>
      </w:r>
      <w:r>
        <w:rPr>
          <w:rFonts w:hint="eastAsia"/>
          <w:sz w:val="28"/>
          <w:szCs w:val="28"/>
          <w:lang/>
        </w:rPr>
        <w:t>高希霸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ascii="仿宋_GB2312" w:eastAsia="仿宋_GB2312" w:hAnsi="仿宋_GB2312" w:cstheme="minorBidi" w:hint="eastAsia"/>
          <w:kern w:val="2"/>
          <w:sz w:val="28"/>
          <w:szCs w:val="28"/>
          <w:lang w:val="en-US" w:eastAsia="zh-CN"/>
        </w:rPr>
        <w:t>特立尼达、阿塔迪斯、帕德隆、蒙特克里斯托</w:t>
      </w:r>
      <w:r>
        <w:rPr>
          <w:rFonts w:cstheme="minorBidi" w:hint="eastAsia"/>
          <w:kern w:val="2"/>
          <w:sz w:val="28"/>
          <w:szCs w:val="28"/>
          <w:lang w:val="en-US" w:eastAsia="zh-CN"/>
        </w:rPr>
        <w:t>、</w:t>
      </w:r>
      <w:r>
        <w:rPr>
          <w:rFonts w:ascii="仿宋_GB2312" w:eastAsia="仿宋_GB2312" w:hAnsi="仿宋_GB2312" w:cstheme="minorBidi" w:hint="eastAsia"/>
          <w:kern w:val="2"/>
          <w:sz w:val="28"/>
          <w:szCs w:val="28"/>
          <w:lang w:val="en-US" w:eastAsia="zh-CN"/>
        </w:rPr>
        <w:t>好友·德·蒙特雷、帕特加斯）</w:t>
      </w:r>
      <w:r>
        <w:rPr>
          <w:rFonts w:hint="eastAsia"/>
          <w:sz w:val="28"/>
          <w:szCs w:val="28"/>
          <w:lang/>
        </w:rPr>
        <w:t>供应商或其授权代理商开具的、近半年内的增值税专用发票复印件，复印件须清晰可辨并加盖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  <w:lang/>
        </w:rPr>
        <w:t>人单位公章。</w:t>
      </w:r>
    </w:p>
    <w:p>
      <w:pPr>
        <w:ind w:left="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六</w:t>
      </w:r>
      <w:r>
        <w:rPr>
          <w:rFonts w:ascii="黑体" w:eastAsia="黑体" w:hAnsi="黑体" w:cs="黑体" w:hint="eastAsia"/>
          <w:sz w:val="28"/>
          <w:szCs w:val="28"/>
        </w:rPr>
        <w:t>、服务质量管理方案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（方案需详细阐述以下方面的具体措施）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人员配备与资质：包括但不限于</w:t>
      </w:r>
      <w:r>
        <w:rPr>
          <w:rFonts w:hint="eastAsia"/>
          <w:sz w:val="28"/>
          <w:szCs w:val="28"/>
          <w:lang w:val="en-US" w:eastAsia="zh-CN"/>
        </w:rPr>
        <w:t>持有中国烟草协会颁发的</w:t>
      </w:r>
      <w:r>
        <w:rPr>
          <w:rFonts w:hint="eastAsia"/>
          <w:sz w:val="28"/>
          <w:szCs w:val="28"/>
        </w:rPr>
        <w:t>侍茄师团队资质、服务礼仪标准、年度培训计划等。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服务流程与体验标准：包括标准化服务流程、文化体验植入、隐私保护措施等。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环境维护与商品管理：包括环境清洁标准、雪茄储存设备运维、商品陈列与养护规范等。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客诉处理与应急机制：包括投诉响应流程、各类突发事件应急预案等。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服务监督与考核：声明接受招</w:t>
      </w:r>
      <w:r>
        <w:rPr>
          <w:rFonts w:hint="eastAsia"/>
          <w:sz w:val="28"/>
          <w:szCs w:val="28"/>
          <w:lang w:val="en-US" w:eastAsia="zh-CN"/>
        </w:rPr>
        <w:t>商</w:t>
      </w:r>
      <w:r>
        <w:rPr>
          <w:rFonts w:hint="eastAsia"/>
          <w:sz w:val="28"/>
          <w:szCs w:val="28"/>
        </w:rPr>
        <w:t>方的各项服务监督与考核。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（方案文件需加盖公章）</w:t>
      </w:r>
    </w:p>
    <w:p>
      <w:pPr>
        <w:ind w:left="0" w:firstLine="560"/>
        <w:rPr>
          <w:rFonts w:ascii="仿宋_GB2312" w:eastAsia="仿宋_GB2312" w:hAnsi="仿宋_GB2312" w:cstheme="minorBidi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七、商务报价</w:t>
      </w:r>
    </w:p>
    <w:p>
      <w:pPr>
        <w:ind w:left="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商务报价指固定项目金额报价，报价单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提成方案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参考</w:t>
      </w:r>
      <w:r>
        <w:rPr>
          <w:rFonts w:hint="eastAsia"/>
          <w:sz w:val="28"/>
          <w:szCs w:val="28"/>
        </w:rPr>
        <w:t>附件3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附件4</w:t>
      </w:r>
      <w:r>
        <w:rPr>
          <w:rFonts w:hint="eastAsia"/>
          <w:sz w:val="28"/>
          <w:szCs w:val="28"/>
        </w:rPr>
        <w:t>）单独装订，与上述一</w:t>
      </w:r>
      <w:r>
        <w:rPr>
          <w:rFonts w:hint="eastAsia"/>
          <w:sz w:val="28"/>
          <w:szCs w:val="28"/>
          <w:lang w:val="en-US" w:eastAsia="zh-CN"/>
        </w:rPr>
        <w:t>至五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  <w:lang w:val="en-US" w:eastAsia="zh-CN"/>
        </w:rPr>
        <w:t>文件</w:t>
      </w:r>
      <w:r>
        <w:rPr>
          <w:rFonts w:hint="eastAsia"/>
          <w:sz w:val="28"/>
          <w:szCs w:val="28"/>
        </w:rPr>
        <w:t>内容分册，加盖公章。</w:t>
      </w:r>
    </w:p>
    <w:p>
      <w:pPr>
        <w:ind w:left="0" w:firstLine="64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ind w:firstLine="420"/>
      <w:jc w:val="both"/>
    </w:pPr>
    <w:rPr>
      <w:rFonts w:ascii="仿宋_GB2312" w:eastAsia="仿宋_GB2312" w:hAnsi="仿宋_GB2312" w:cstheme="minorBidi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2026-07-14T09:16:00Z</dcterms:created>
  <dcterms:modified xsi:type="dcterms:W3CDTF">2026-07-14T09:17:42Z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524F7E8FC9CF4701A582988D59C39CFA_13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eyJoZGlkIjoiNDI5MzA0NTI3ZjBiNDg0ZTg4ZDRjNDJjOTEyOTk1ZmQiLCJ1c2VySWQiOiIyNDQwNDU1OTYifQ==</vt:lpwstr>
  </property>
</Properties>
</file>