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ind w:left="0" w:firstLine="0"/>
        <w:jc w:val="left"/>
        <w:rPr>
          <w:rFonts w:ascii="黑体" w:eastAsia="黑体" w:hAnsi="黑体" w:cs="黑体" w:hint="eastAsia"/>
          <w:sz w:val="28"/>
          <w:szCs w:val="28"/>
          <w:lang w:val="en-US" w:eastAsia="zh-CN"/>
        </w:rPr>
      </w:pPr>
      <w:bookmarkStart w:id="0" w:name="_GoBack"/>
      <w:r>
        <w:rPr>
          <w:rFonts w:ascii="黑体" w:eastAsia="黑体" w:hAnsi="黑体" w:cs="黑体" w:hint="eastAsia"/>
          <w:sz w:val="28"/>
          <w:szCs w:val="28"/>
          <w:lang w:val="en-US" w:eastAsia="zh-CN"/>
        </w:rPr>
        <w:t>附件5</w:t>
      </w:r>
      <w:bookmarkEnd w:id="0"/>
      <w:r>
        <w:rPr>
          <w:rFonts w:ascii="黑体" w:eastAsia="黑体" w:hAnsi="黑体" w:cs="黑体" w:hint="eastAsia"/>
          <w:sz w:val="28"/>
          <w:szCs w:val="28"/>
          <w:lang w:val="en-US" w:eastAsia="zh-CN"/>
        </w:rPr>
        <w:t>：</w:t>
      </w:r>
    </w:p>
    <w:p>
      <w:pPr>
        <w:ind w:left="0" w:firstLine="0"/>
        <w:jc w:val="center"/>
        <w:rPr>
          <w:rFonts w:ascii="方正小标宋简体" w:eastAsia="方正小标宋简体" w:hAnsi="方正小标宋简体" w:cs="方正小标宋简体" w:hint="eastAsia"/>
          <w:lang w:val="en-US" w:eastAsia="zh-CN"/>
        </w:rPr>
      </w:pPr>
      <w:r>
        <w:rPr>
          <w:rFonts w:ascii="方正小标宋简体" w:eastAsia="方正小标宋简体" w:hAnsi="方正小标宋简体" w:cs="方正小标宋简体" w:hint="eastAsia"/>
          <w:lang w:val="en-US" w:eastAsia="zh-CN"/>
        </w:rPr>
        <w:t>综合评分表</w:t>
      </w:r>
    </w:p>
    <w:p>
      <w:pPr>
        <w:ind w:left="0" w:firstLine="640"/>
        <w:jc w:val="center"/>
        <w:rPr>
          <w:rFonts w:ascii="方正小标宋简体" w:eastAsia="方正小标宋简体" w:hAnsi="方正小标宋简体" w:cs="方正小标宋简体" w:hint="eastAsia"/>
          <w:lang w:val="en-US" w:eastAsia="zh-CN"/>
        </w:rPr>
      </w:pPr>
    </w:p>
    <w:tbl>
      <w:tblPr>
        <w:tblStyle w:val="TableNormal"/>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
      <w:tblGrid>
        <w:gridCol w:w="871"/>
        <w:gridCol w:w="1236"/>
        <w:gridCol w:w="1598"/>
        <w:gridCol w:w="5662"/>
      </w:tblGrid>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2147"/>
          <w:jc w:val="center"/>
        </w:trPr>
        <w:tc>
          <w:tcPr>
            <w:tcW w:w="871"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响应人技术能力评分（40分）</w:t>
            </w:r>
          </w:p>
        </w:tc>
        <w:tc>
          <w:tcPr>
            <w:tcW w:w="1236"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企业综合实力（15分）</w:t>
            </w: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1" w:afterAutospacing="1"/>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企业雪茄品牌销售业绩（10分）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1.高端（稀缺）品牌资源（5分）：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（1）具备官方渠道获得高端（</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稀缺</w:t>
            </w:r>
            <w:r>
              <w:rPr>
                <w:rFonts w:asciiTheme="minorEastAsia" w:eastAsiaTheme="minorEastAsia" w:hAnsiTheme="minorEastAsia" w:cstheme="minorEastAsia" w:hint="eastAsia"/>
                <w:i w:val="0"/>
                <w:strike w:val="0"/>
                <w:color w:val="000000"/>
                <w:kern w:val="2"/>
                <w:sz w:val="24"/>
                <w:szCs w:val="24"/>
                <w:u w:val="none"/>
                <w:lang w:val="en-US" w:eastAsia="zh-CN" w:bidi="ar-SA"/>
              </w:rPr>
              <w:t>）雪茄品牌</w:t>
            </w:r>
            <w:r>
              <w:rPr>
                <w:rFonts w:asciiTheme="minorEastAsia" w:eastAsiaTheme="minorEastAsia" w:hAnsiTheme="minorEastAsia" w:cstheme="minorEastAsia" w:hint="eastAsia"/>
                <w:color w:val="000000"/>
                <w:sz w:val="24"/>
                <w:szCs w:val="24"/>
                <w:u w:val="none"/>
                <w:lang w:val="en-US" w:eastAsia="zh-CN" w:bidi="ar-SA"/>
              </w:rPr>
              <w:t>包括但不限于</w:t>
            </w:r>
            <w:r>
              <w:rPr>
                <w:rFonts w:asciiTheme="minorEastAsia" w:eastAsiaTheme="minorEastAsia" w:hAnsiTheme="minorEastAsia" w:cstheme="minorEastAsia" w:hint="eastAsia"/>
                <w:color w:val="000000"/>
                <w:sz w:val="24"/>
                <w:szCs w:val="24"/>
                <w:u w:val="none"/>
                <w:lang w:bidi="ar-SA"/>
              </w:rPr>
              <w:t>高希霸</w:t>
            </w:r>
            <w:r>
              <w:rPr>
                <w:rFonts w:asciiTheme="minorEastAsia" w:eastAsiaTheme="minorEastAsia" w:hAnsiTheme="minorEastAsia" w:cstheme="minorEastAsia" w:hint="eastAsia"/>
                <w:color w:val="000000"/>
                <w:sz w:val="24"/>
                <w:szCs w:val="24"/>
                <w:u w:val="none"/>
                <w:lang w:eastAsia="zh-CN" w:bidi="ar-SA"/>
              </w:rPr>
              <w:t>、</w:t>
            </w:r>
            <w:r>
              <w:rPr>
                <w:rFonts w:asciiTheme="minorEastAsia" w:eastAsiaTheme="minorEastAsia" w:hAnsiTheme="minorEastAsia" w:cstheme="minorEastAsia" w:hint="eastAsia"/>
                <w:color w:val="000000"/>
                <w:kern w:val="2"/>
                <w:sz w:val="24"/>
                <w:szCs w:val="24"/>
                <w:u w:val="none"/>
                <w:lang w:val="en-US" w:eastAsia="zh-CN" w:bidi="ar-SA"/>
              </w:rPr>
              <w:t>特立尼达、阿塔迪斯、帕德隆、蒙特克里斯托、好友·德·蒙特雷、帕特加斯</w:t>
            </w:r>
            <w:r>
              <w:rPr>
                <w:rFonts w:asciiTheme="minorEastAsia" w:eastAsiaTheme="minorEastAsia" w:hAnsiTheme="minorEastAsia" w:cstheme="minorEastAsia" w:hint="eastAsia"/>
                <w:i w:val="0"/>
                <w:strike w:val="0"/>
                <w:color w:val="000000"/>
                <w:kern w:val="2"/>
                <w:sz w:val="24"/>
                <w:szCs w:val="24"/>
                <w:u w:val="none"/>
                <w:lang w:val="en-US" w:eastAsia="zh-CN" w:bidi="ar-SA"/>
              </w:rPr>
              <w:t>，每一款得1分，最高得3分。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（2）具有一款高端（稀缺）雪茄品牌（品牌同上）的年销售额不低于10万元的业绩得1分，最高得2分。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注：以上2项需提供烟草公司开具的增值税发票作为证明。</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2.企业2024年1月1日至今累计营业收入（3分）：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（1）低于100万得0分；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（2）100万（含）～200万得2分；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（3）200万（含）以上得3分；</w:t>
            </w:r>
          </w:p>
          <w:p>
            <w:pPr>
              <w:pStyle w:val="NormalWeb"/>
              <w:widowControl/>
              <w:ind w:firstLine="0"/>
              <w:rPr>
                <w:rFonts w:asciiTheme="minorEastAsia" w:eastAsiaTheme="minorEastAsia" w:hAnsiTheme="minorEastAsia" w:cstheme="minorEastAsia" w:hint="eastAsia"/>
                <w:b w:val="0"/>
                <w:bCs w:val="0"/>
                <w:i w:val="0"/>
                <w:strike w:val="0"/>
                <w:color w:val="000000"/>
                <w:kern w:val="2"/>
                <w:sz w:val="24"/>
                <w:szCs w:val="24"/>
                <w:u w:val="none"/>
                <w:lang w:val="en-US" w:eastAsia="zh-CN" w:bidi="ar-SA"/>
              </w:rPr>
            </w:pPr>
            <w:r>
              <w:rPr>
                <w:rFonts w:asciiTheme="minorEastAsia" w:eastAsiaTheme="minorEastAsia" w:hAnsiTheme="minorEastAsia" w:cstheme="minorEastAsia" w:hint="eastAsia"/>
                <w:b w:val="0"/>
                <w:bCs w:val="0"/>
                <w:i w:val="0"/>
                <w:strike w:val="0"/>
                <w:color w:val="000000"/>
                <w:kern w:val="2"/>
                <w:sz w:val="24"/>
                <w:szCs w:val="24"/>
                <w:u w:val="none"/>
                <w:lang w:val="en-US" w:eastAsia="zh-CN" w:bidi="ar-SA"/>
              </w:rPr>
              <w:t>本项最高3分。</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highlight w:val="none"/>
                <w:u w:val="none"/>
                <w:lang w:val="en-US" w:eastAsia="zh-CN" w:bidi="ar-SA"/>
              </w:rPr>
            </w:pPr>
            <w:r>
              <w:rPr>
                <w:rFonts w:asciiTheme="minorEastAsia" w:eastAsiaTheme="minorEastAsia" w:hAnsiTheme="minorEastAsia" w:cstheme="minorEastAsia" w:hint="eastAsia"/>
                <w:b/>
                <w:bCs/>
                <w:i w:val="0"/>
                <w:strike w:val="0"/>
                <w:color w:val="000000"/>
                <w:kern w:val="2"/>
                <w:sz w:val="24"/>
                <w:szCs w:val="24"/>
                <w:highlight w:val="none"/>
                <w:u w:val="none"/>
                <w:lang w:val="en-US" w:eastAsia="zh-CN" w:bidi="ar-SA"/>
              </w:rPr>
              <w:t>3.同类经营业绩（2分）：</w:t>
            </w:r>
          </w:p>
          <w:p>
            <w:pPr>
              <w:pStyle w:val="NormalWeb"/>
              <w:widowControl/>
              <w:ind w:firstLine="0"/>
              <w:rPr>
                <w:rFonts w:asciiTheme="minorEastAsia" w:eastAsiaTheme="minorEastAsia" w:hAnsiTheme="minorEastAsia" w:cstheme="minorEastAsia" w:hint="default"/>
                <w:b w:val="0"/>
                <w:bCs w:val="0"/>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提供</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2024</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年</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1月1日至今</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在机场、五星级酒店、高端商业综合体或高档私人会所等同类高端场景的雪茄吧或高端零售服务合同，每提供一个有效业绩得1分，最高</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2</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分。（须提供合同关键页及发票复印件证明）</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2792"/>
          <w:jc w:val="center"/>
        </w:trPr>
        <w:tc>
          <w:tcPr>
            <w:tcW w:w="871" w:type="dxa"/>
            <w:vMerge/>
            <w:tcBorders>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Theme="minorEastAsia" w:eastAsiaTheme="minorEastAsia" w:hAnsiTheme="minorEastAsia" w:cstheme="minorEastAsia" w:hint="eastAsia"/>
                <w:sz w:val="24"/>
                <w:szCs w:val="24"/>
              </w:rPr>
            </w:pPr>
          </w:p>
        </w:tc>
        <w:tc>
          <w:tcPr>
            <w:tcW w:w="1236"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Theme="minorEastAsia" w:eastAsiaTheme="minorEastAsia" w:hAnsiTheme="minorEastAsia" w:cstheme="minorEastAsia" w:hint="eastAsia"/>
                <w:sz w:val="24"/>
                <w:szCs w:val="24"/>
              </w:rPr>
            </w:pP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专业团队资质（5分）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default"/>
                <w:b/>
                <w:bCs/>
                <w:i w:val="0"/>
                <w:strike w:val="0"/>
                <w:color w:val="000000"/>
                <w:kern w:val="2"/>
                <w:sz w:val="24"/>
                <w:szCs w:val="24"/>
                <w:u w:val="none"/>
                <w:lang w:val="en-US" w:eastAsia="zh-CN" w:bidi="ar-SA"/>
              </w:rPr>
            </w:pPr>
            <w:r>
              <w:rPr>
                <w:rFonts w:asciiTheme="minorEastAsia" w:eastAsiaTheme="minorEastAsia" w:hAnsiTheme="minorEastAsia" w:cstheme="minorEastAsia" w:hint="default"/>
                <w:b/>
                <w:bCs/>
                <w:i w:val="0"/>
                <w:strike w:val="0"/>
                <w:color w:val="000000"/>
                <w:kern w:val="2"/>
                <w:sz w:val="24"/>
                <w:szCs w:val="24"/>
                <w:u w:val="none"/>
                <w:lang w:val="en-US" w:eastAsia="zh-CN" w:bidi="ar-SA"/>
              </w:rPr>
              <w:t>1.企业资质（</w:t>
            </w:r>
            <w:r>
              <w:rPr>
                <w:rFonts w:asciiTheme="minorEastAsia" w:eastAsiaTheme="minorEastAsia" w:hAnsiTheme="minorEastAsia" w:cstheme="minorEastAsia" w:hint="eastAsia"/>
                <w:b/>
                <w:bCs/>
                <w:i w:val="0"/>
                <w:strike w:val="0"/>
                <w:color w:val="000000"/>
                <w:kern w:val="2"/>
                <w:sz w:val="24"/>
                <w:szCs w:val="24"/>
                <w:u w:val="none"/>
                <w:lang w:val="en-US" w:eastAsia="zh-CN" w:bidi="ar-SA"/>
              </w:rPr>
              <w:t>2</w:t>
            </w:r>
            <w:r>
              <w:rPr>
                <w:rFonts w:asciiTheme="minorEastAsia" w:eastAsiaTheme="minorEastAsia" w:hAnsiTheme="minorEastAsia" w:cstheme="minorEastAsia" w:hint="default"/>
                <w:b/>
                <w:bCs/>
                <w:i w:val="0"/>
                <w:strike w:val="0"/>
                <w:color w:val="000000"/>
                <w:kern w:val="2"/>
                <w:sz w:val="24"/>
                <w:szCs w:val="24"/>
                <w:u w:val="none"/>
                <w:lang w:val="en-US" w:eastAsia="zh-CN" w:bidi="ar-SA"/>
              </w:rPr>
              <w:t>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响应人每具有一个烟草类注册商标即得1分，最高</w:t>
            </w:r>
            <w:r>
              <w:rPr>
                <w:rFonts w:asciiTheme="minorEastAsia" w:eastAsiaTheme="minorEastAsia" w:hAnsiTheme="minorEastAsia" w:cstheme="minorEastAsia" w:hint="eastAsia"/>
                <w:i w:val="0"/>
                <w:strike w:val="0"/>
                <w:color w:val="000000"/>
                <w:kern w:val="2"/>
                <w:sz w:val="24"/>
                <w:szCs w:val="24"/>
                <w:u w:val="none"/>
                <w:lang w:val="en-US" w:eastAsia="zh-CN" w:bidi="ar-SA"/>
              </w:rPr>
              <w:t>2</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2.</w:t>
            </w:r>
            <w:r>
              <w:rPr>
                <w:rFonts w:asciiTheme="minorEastAsia" w:eastAsiaTheme="minorEastAsia" w:hAnsiTheme="minorEastAsia" w:cstheme="minorEastAsia" w:hint="default"/>
                <w:b/>
                <w:bCs/>
                <w:i w:val="0"/>
                <w:strike w:val="0"/>
                <w:color w:val="000000"/>
                <w:kern w:val="2"/>
                <w:sz w:val="24"/>
                <w:szCs w:val="24"/>
                <w:u w:val="none"/>
                <w:lang w:val="en-US" w:eastAsia="zh-CN" w:bidi="ar-SA"/>
              </w:rPr>
              <w:t>团队资质（</w:t>
            </w:r>
            <w:r>
              <w:rPr>
                <w:rFonts w:asciiTheme="minorEastAsia" w:eastAsiaTheme="minorEastAsia" w:hAnsiTheme="minorEastAsia" w:cstheme="minorEastAsia" w:hint="eastAsia"/>
                <w:b/>
                <w:bCs/>
                <w:i w:val="0"/>
                <w:strike w:val="0"/>
                <w:color w:val="000000"/>
                <w:kern w:val="2"/>
                <w:sz w:val="24"/>
                <w:szCs w:val="24"/>
                <w:u w:val="none"/>
                <w:lang w:val="en-US" w:eastAsia="zh-CN" w:bidi="ar-SA"/>
              </w:rPr>
              <w:t>3</w:t>
            </w:r>
            <w:r>
              <w:rPr>
                <w:rFonts w:asciiTheme="minorEastAsia" w:eastAsiaTheme="minorEastAsia" w:hAnsiTheme="minorEastAsia" w:cstheme="minorEastAsia" w:hint="default"/>
                <w:b/>
                <w:bCs/>
                <w:i w:val="0"/>
                <w:strike w:val="0"/>
                <w:color w:val="000000"/>
                <w:kern w:val="2"/>
                <w:sz w:val="24"/>
                <w:szCs w:val="24"/>
                <w:u w:val="none"/>
                <w:lang w:val="en-US" w:eastAsia="zh-CN" w:bidi="ar-SA"/>
              </w:rPr>
              <w:t>分）</w:t>
            </w:r>
            <w:r>
              <w:rPr>
                <w:rFonts w:asciiTheme="minorEastAsia" w:eastAsiaTheme="minorEastAsia" w:hAnsiTheme="minorEastAsia" w:cstheme="minorEastAsia" w:hint="default"/>
                <w:i w:val="0"/>
                <w:strike w:val="0"/>
                <w:color w:val="000000"/>
                <w:kern w:val="2"/>
                <w:sz w:val="24"/>
                <w:szCs w:val="24"/>
                <w:u w:val="none"/>
                <w:lang w:val="en-US" w:eastAsia="zh-CN" w:bidi="ar-SA"/>
              </w:rPr>
              <w:t>：驻场该项目的团队中，成员具有持有中国烟草协会颁发的“中国侍茄师能力认证证书”的侍茄师，</w:t>
            </w:r>
            <w:r>
              <w:rPr>
                <w:rFonts w:asciiTheme="minorEastAsia" w:eastAsiaTheme="minorEastAsia" w:hAnsiTheme="minorEastAsia" w:cstheme="minorEastAsia" w:hint="eastAsia"/>
                <w:i w:val="0"/>
                <w:strike w:val="0"/>
                <w:color w:val="000000"/>
                <w:kern w:val="2"/>
                <w:sz w:val="24"/>
                <w:szCs w:val="24"/>
                <w:u w:val="none"/>
                <w:lang w:val="en-US" w:eastAsia="zh-CN" w:bidi="ar-SA"/>
              </w:rPr>
              <w:t>认证等级为</w:t>
            </w:r>
            <w:r>
              <w:rPr>
                <w:rFonts w:asciiTheme="minorEastAsia" w:eastAsiaTheme="minorEastAsia" w:hAnsiTheme="minorEastAsia" w:cstheme="minorEastAsia" w:hint="default"/>
                <w:i w:val="0"/>
                <w:strike w:val="0"/>
                <w:color w:val="000000"/>
                <w:kern w:val="2"/>
                <w:sz w:val="24"/>
                <w:szCs w:val="24"/>
                <w:u w:val="none"/>
                <w:lang w:val="en-US" w:eastAsia="zh-CN" w:bidi="ar-SA"/>
              </w:rPr>
              <w:t>初级每</w:t>
            </w:r>
            <w:r>
              <w:rPr>
                <w:rFonts w:asciiTheme="minorEastAsia" w:eastAsiaTheme="minorEastAsia" w:hAnsiTheme="minorEastAsia" w:cstheme="minorEastAsia" w:hint="eastAsia"/>
                <w:i w:val="0"/>
                <w:strike w:val="0"/>
                <w:color w:val="000000"/>
                <w:kern w:val="2"/>
                <w:sz w:val="24"/>
                <w:szCs w:val="24"/>
                <w:u w:val="none"/>
                <w:lang w:val="en-US" w:eastAsia="zh-CN" w:bidi="ar-SA"/>
              </w:rPr>
              <w:t>一</w:t>
            </w:r>
            <w:r>
              <w:rPr>
                <w:rFonts w:asciiTheme="minorEastAsia" w:eastAsiaTheme="minorEastAsia" w:hAnsiTheme="minorEastAsia" w:cstheme="minorEastAsia" w:hint="default"/>
                <w:i w:val="0"/>
                <w:strike w:val="0"/>
                <w:color w:val="000000"/>
                <w:kern w:val="2"/>
                <w:sz w:val="24"/>
                <w:szCs w:val="24"/>
                <w:u w:val="none"/>
                <w:lang w:val="en-US" w:eastAsia="zh-CN" w:bidi="ar-SA"/>
              </w:rPr>
              <w:t>位得</w:t>
            </w:r>
            <w:r>
              <w:rPr>
                <w:rFonts w:asciiTheme="minorEastAsia" w:eastAsiaTheme="minorEastAsia" w:hAnsiTheme="minorEastAsia" w:cstheme="minorEastAsia" w:hint="eastAsia"/>
                <w:i w:val="0"/>
                <w:strike w:val="0"/>
                <w:color w:val="000000"/>
                <w:kern w:val="2"/>
                <w:sz w:val="24"/>
                <w:szCs w:val="24"/>
                <w:u w:val="none"/>
                <w:lang w:val="en-US" w:eastAsia="zh-CN" w:bidi="ar-SA"/>
              </w:rPr>
              <w:t>1</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r>
              <w:rPr>
                <w:rFonts w:asciiTheme="minorEastAsia" w:eastAsiaTheme="minorEastAsia" w:hAnsiTheme="minorEastAsia" w:cstheme="minorEastAsia" w:hint="eastAsia"/>
                <w:i w:val="0"/>
                <w:strike w:val="0"/>
                <w:color w:val="000000"/>
                <w:kern w:val="2"/>
                <w:sz w:val="24"/>
                <w:szCs w:val="24"/>
                <w:u w:val="none"/>
                <w:lang w:val="en-US" w:eastAsia="zh-CN" w:bidi="ar-SA"/>
              </w:rPr>
              <w:t>，</w:t>
            </w:r>
            <w:r>
              <w:rPr>
                <w:rFonts w:asciiTheme="minorEastAsia" w:eastAsiaTheme="minorEastAsia" w:hAnsiTheme="minorEastAsia" w:cstheme="minorEastAsia" w:hint="default"/>
                <w:i w:val="0"/>
                <w:strike w:val="0"/>
                <w:color w:val="000000"/>
                <w:kern w:val="2"/>
                <w:sz w:val="24"/>
                <w:szCs w:val="24"/>
                <w:u w:val="none"/>
                <w:lang w:val="en-US" w:eastAsia="zh-CN" w:bidi="ar-SA"/>
              </w:rPr>
              <w:t>中级及以上</w:t>
            </w:r>
            <w:r>
              <w:rPr>
                <w:rFonts w:asciiTheme="minorEastAsia" w:eastAsiaTheme="minorEastAsia" w:hAnsiTheme="minorEastAsia" w:cstheme="minorEastAsia" w:hint="eastAsia"/>
                <w:i w:val="0"/>
                <w:strike w:val="0"/>
                <w:color w:val="000000"/>
                <w:kern w:val="2"/>
                <w:sz w:val="24"/>
                <w:szCs w:val="24"/>
                <w:u w:val="none"/>
                <w:lang w:val="en-US" w:eastAsia="zh-CN" w:bidi="ar-SA"/>
              </w:rPr>
              <w:t>每一位</w:t>
            </w:r>
            <w:r>
              <w:rPr>
                <w:rFonts w:asciiTheme="minorEastAsia" w:eastAsiaTheme="minorEastAsia" w:hAnsiTheme="minorEastAsia" w:cstheme="minorEastAsia" w:hint="default"/>
                <w:i w:val="0"/>
                <w:strike w:val="0"/>
                <w:color w:val="000000"/>
                <w:kern w:val="2"/>
                <w:sz w:val="24"/>
                <w:szCs w:val="24"/>
                <w:u w:val="none"/>
                <w:lang w:val="en-US" w:eastAsia="zh-CN" w:bidi="ar-SA"/>
              </w:rPr>
              <w:t>得</w:t>
            </w:r>
            <w:r>
              <w:rPr>
                <w:rFonts w:asciiTheme="minorEastAsia" w:eastAsiaTheme="minorEastAsia" w:hAnsiTheme="minorEastAsia" w:cstheme="minorEastAsia" w:hint="eastAsia"/>
                <w:i w:val="0"/>
                <w:strike w:val="0"/>
                <w:color w:val="000000"/>
                <w:kern w:val="2"/>
                <w:sz w:val="24"/>
                <w:szCs w:val="24"/>
                <w:u w:val="none"/>
                <w:lang w:val="en-US" w:eastAsia="zh-CN" w:bidi="ar-SA"/>
              </w:rPr>
              <w:t>2</w:t>
            </w:r>
            <w:r>
              <w:rPr>
                <w:rFonts w:asciiTheme="minorEastAsia" w:eastAsiaTheme="minorEastAsia" w:hAnsiTheme="minorEastAsia" w:cstheme="minorEastAsia" w:hint="default"/>
                <w:i w:val="0"/>
                <w:strike w:val="0"/>
                <w:color w:val="000000"/>
                <w:kern w:val="2"/>
                <w:sz w:val="24"/>
                <w:szCs w:val="24"/>
                <w:u w:val="none"/>
                <w:lang w:val="en-US" w:eastAsia="zh-CN" w:bidi="ar-SA"/>
              </w:rPr>
              <w:t>分，最高得</w:t>
            </w:r>
            <w:r>
              <w:rPr>
                <w:rFonts w:asciiTheme="minorEastAsia" w:eastAsiaTheme="minorEastAsia" w:hAnsiTheme="minorEastAsia" w:cstheme="minorEastAsia" w:hint="eastAsia"/>
                <w:i w:val="0"/>
                <w:strike w:val="0"/>
                <w:color w:val="000000"/>
                <w:kern w:val="2"/>
                <w:sz w:val="24"/>
                <w:szCs w:val="24"/>
                <w:u w:val="none"/>
                <w:lang w:val="en-US" w:eastAsia="zh-CN" w:bidi="ar-SA"/>
              </w:rPr>
              <w:t>3</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463"/>
          <w:jc w:val="center"/>
        </w:trPr>
        <w:tc>
          <w:tcPr>
            <w:tcW w:w="871" w:type="dxa"/>
            <w:vMerge/>
            <w:tcBorders>
              <w:left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236" w:type="dxa"/>
            <w:vMerge w:val="restart"/>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运营与服务综合方案（25分）</w:t>
            </w: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keepNext w:val="0"/>
              <w:keepLines w:val="0"/>
              <w:widowControl/>
              <w:suppressLineNumbers w:val="0"/>
              <w:ind w:left="0"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服务方案（15分）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1.服务流程标准（5分）</w:t>
            </w:r>
            <w:r>
              <w:rPr>
                <w:rFonts w:asciiTheme="minorEastAsia" w:eastAsiaTheme="minorEastAsia" w:hAnsiTheme="minorEastAsia" w:cstheme="minorEastAsia" w:hint="eastAsia"/>
                <w:i w:val="0"/>
                <w:strike w:val="0"/>
                <w:color w:val="000000"/>
                <w:kern w:val="2"/>
                <w:sz w:val="24"/>
                <w:szCs w:val="24"/>
                <w:u w:val="none"/>
                <w:lang w:val="en-US" w:eastAsia="zh-CN" w:bidi="ar-SA"/>
              </w:rPr>
              <w:t>：提供从迎宾、问询、推荐、剪切点燃到送别的完整标准化流程，流程清晰、专业、极具体验感，优秀得5～4分，良好得3～2分，一般得1分。</w:t>
            </w:r>
            <w:r>
              <w:rPr>
                <w:rFonts w:asciiTheme="minorEastAsia" w:eastAsiaTheme="minorEastAsia" w:hAnsiTheme="minorEastAsia" w:cstheme="minorEastAsia" w:hint="eastAsia"/>
                <w:i w:val="0"/>
                <w:strike w:val="0"/>
                <w:color w:val="000000"/>
                <w:kern w:val="2"/>
                <w:sz w:val="24"/>
                <w:szCs w:val="24"/>
                <w:u w:val="none"/>
                <w:lang w:val="en-US" w:eastAsia="zh-CN" w:bidi="ar-SA"/>
              </w:rPr>
              <w:br/>
            </w:r>
            <w:r>
              <w:rPr>
                <w:rFonts w:asciiTheme="minorEastAsia" w:eastAsiaTheme="minorEastAsia" w:hAnsiTheme="minorEastAsia" w:cstheme="minorEastAsia" w:hint="eastAsia"/>
                <w:b/>
                <w:bCs/>
                <w:i w:val="0"/>
                <w:strike w:val="0"/>
                <w:color w:val="000000"/>
                <w:kern w:val="2"/>
                <w:sz w:val="24"/>
                <w:szCs w:val="24"/>
                <w:u w:val="none"/>
                <w:lang w:val="en-US" w:eastAsia="zh-CN" w:bidi="ar-SA"/>
              </w:rPr>
              <w:t>2.雪茄文化体验（5分）</w:t>
            </w:r>
            <w:r>
              <w:rPr>
                <w:rFonts w:asciiTheme="minorEastAsia" w:eastAsiaTheme="minorEastAsia" w:hAnsiTheme="minorEastAsia" w:cstheme="minorEastAsia" w:hint="eastAsia"/>
                <w:i w:val="0"/>
                <w:strike w:val="0"/>
                <w:color w:val="000000"/>
                <w:kern w:val="2"/>
                <w:sz w:val="24"/>
                <w:szCs w:val="24"/>
                <w:u w:val="none"/>
                <w:lang w:val="en-US" w:eastAsia="zh-CN" w:bidi="ar-SA"/>
              </w:rPr>
              <w:t>：方案中包含定期品鉴会、文化讲解、与高端酒品搭配等增值服务设计，内容丰富有创意得5～4分，内容较丰富得3～2分，内容单一得1分。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3.空间设计与布局（5分）</w:t>
            </w:r>
            <w:r>
              <w:rPr>
                <w:rFonts w:asciiTheme="minorEastAsia" w:eastAsiaTheme="minorEastAsia" w:hAnsiTheme="minorEastAsia" w:cstheme="minorEastAsia" w:hint="eastAsia"/>
                <w:i w:val="0"/>
                <w:strike w:val="0"/>
                <w:color w:val="000000"/>
                <w:kern w:val="2"/>
                <w:sz w:val="24"/>
                <w:szCs w:val="24"/>
                <w:u w:val="none"/>
                <w:lang w:val="en-US" w:eastAsia="zh-CN" w:bidi="ar-SA"/>
              </w:rPr>
              <w:t>：方案中雪茄吧及精品香烟展示区设计风格契合机场两舱休息室高端定位，合理融入雪茄及烟草文化元素，且符合机场消防、安全等规范，设计精美有创意得5～4分，设计较合理得3～2分，设计普通得1分。</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697"/>
          <w:jc w:val="center"/>
        </w:trPr>
        <w:tc>
          <w:tcPr>
            <w:tcW w:w="871"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236" w:type="dxa"/>
            <w:vMerge/>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keepNext w:val="0"/>
              <w:keepLines w:val="0"/>
              <w:widowControl/>
              <w:suppressLineNumbers w:val="0"/>
              <w:ind w:left="0"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现场营销与运营管理（10分）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1.驻场该项目团队结构与培训（3分）</w:t>
            </w:r>
            <w:r>
              <w:rPr>
                <w:rFonts w:asciiTheme="minorEastAsia" w:eastAsiaTheme="minorEastAsia" w:hAnsiTheme="minorEastAsia" w:cstheme="minorEastAsia" w:hint="eastAsia"/>
                <w:i w:val="0"/>
                <w:strike w:val="0"/>
                <w:color w:val="000000"/>
                <w:kern w:val="2"/>
                <w:sz w:val="24"/>
                <w:szCs w:val="24"/>
                <w:u w:val="none"/>
                <w:lang w:val="en-US" w:eastAsia="zh-CN" w:bidi="ar-SA"/>
              </w:rPr>
              <w:t>：团队结构（侍茄师、销售等）完整，并有系统的年度培训计划，方案完善得3分，较完善得2分，不完善得1分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2.客诉与应急处理（3分）</w:t>
            </w:r>
            <w:r>
              <w:rPr>
                <w:rFonts w:asciiTheme="minorEastAsia" w:eastAsiaTheme="minorEastAsia" w:hAnsiTheme="minorEastAsia" w:cstheme="minorEastAsia" w:hint="eastAsia"/>
                <w:i w:val="0"/>
                <w:strike w:val="0"/>
                <w:color w:val="000000"/>
                <w:kern w:val="2"/>
                <w:sz w:val="24"/>
                <w:szCs w:val="24"/>
                <w:u w:val="none"/>
                <w:lang w:val="en-US" w:eastAsia="zh-CN" w:bidi="ar-SA"/>
              </w:rPr>
              <w:t>：客诉响应时间目标明确（如15分钟内），处理流程清晰，应急预案（如设备故障、消防安全）周全，方案优秀得3分，良好得2分，一般得1分。</w:t>
            </w:r>
            <w:r>
              <w:rPr>
                <w:rFonts w:asciiTheme="minorEastAsia" w:eastAsiaTheme="minorEastAsia" w:hAnsiTheme="minorEastAsia" w:cstheme="minorEastAsia" w:hint="eastAsia"/>
                <w:i w:val="0"/>
                <w:strike w:val="0"/>
                <w:color w:val="000000"/>
                <w:kern w:val="2"/>
                <w:sz w:val="24"/>
                <w:szCs w:val="24"/>
                <w:u w:val="none"/>
                <w:lang w:val="en-US" w:eastAsia="zh-CN" w:bidi="ar-SA"/>
              </w:rPr>
              <w:br/>
            </w:r>
            <w:r>
              <w:rPr>
                <w:rFonts w:asciiTheme="minorEastAsia" w:eastAsiaTheme="minorEastAsia" w:hAnsiTheme="minorEastAsia" w:cstheme="minorEastAsia" w:hint="eastAsia"/>
                <w:b/>
                <w:bCs/>
                <w:i w:val="0"/>
                <w:strike w:val="0"/>
                <w:color w:val="000000"/>
                <w:kern w:val="2"/>
                <w:sz w:val="24"/>
                <w:szCs w:val="24"/>
                <w:u w:val="none"/>
                <w:lang w:val="en-US" w:eastAsia="zh-CN" w:bidi="ar-SA"/>
              </w:rPr>
              <w:t>3.营销与会员运营（3分）</w:t>
            </w:r>
            <w:r>
              <w:rPr>
                <w:rFonts w:asciiTheme="minorEastAsia" w:eastAsiaTheme="minorEastAsia" w:hAnsiTheme="minorEastAsia" w:cstheme="minorEastAsia" w:hint="eastAsia"/>
                <w:i w:val="0"/>
                <w:strike w:val="0"/>
                <w:color w:val="000000"/>
                <w:kern w:val="2"/>
                <w:sz w:val="24"/>
                <w:szCs w:val="24"/>
                <w:u w:val="none"/>
                <w:lang w:val="en-US" w:eastAsia="zh-CN" w:bidi="ar-SA"/>
              </w:rPr>
              <w:t>：有针对高端客群的个性化营销和会员维系方案，方案有创新性、可行性强得3分，可行性一般得2分，方案不完整得1分。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4.服务质量证明（1分）</w:t>
            </w:r>
            <w:r>
              <w:rPr>
                <w:rFonts w:asciiTheme="minorEastAsia" w:eastAsiaTheme="minorEastAsia" w:hAnsiTheme="minorEastAsia" w:cstheme="minorEastAsia" w:hint="eastAsia"/>
                <w:i w:val="0"/>
                <w:strike w:val="0"/>
                <w:color w:val="000000"/>
                <w:kern w:val="2"/>
                <w:sz w:val="24"/>
                <w:szCs w:val="24"/>
                <w:u w:val="none"/>
                <w:lang w:val="en-US" w:eastAsia="zh-CN" w:bidi="ar-SA"/>
              </w:rPr>
              <w:t>：提供由过往合作方（千万级机场、五星级酒店、高端商业综合体或高档私人会所等同类高端场景管理方）出具的服务优良或零投诉证明，即得1分，最高1分。（证明需加盖公章并含联系人）</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220"/>
          <w:jc w:val="center"/>
        </w:trPr>
        <w:tc>
          <w:tcPr>
            <w:tcW w:w="871"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商务评分（60分）</w:t>
            </w:r>
          </w:p>
        </w:tc>
        <w:tc>
          <w:tcPr>
            <w:tcW w:w="1236"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年冠名费报价（40分）</w:t>
            </w:r>
          </w:p>
        </w:tc>
        <w:tc>
          <w:tcPr>
            <w:tcW w:w="7260" w:type="dxa"/>
            <w:gridSpan w:val="2"/>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ind w:firstLine="0"/>
              <w:rPr>
                <w:rFonts w:ascii="Calibri" w:eastAsia="宋体" w:hAnsi="Calibri" w:cs="Times New Roman" w:hint="default"/>
                <w:i w:val="0"/>
                <w:strike w:val="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项目固定金额底价为100</w:t>
            </w:r>
            <w:r>
              <w:rPr>
                <w:rFonts w:asciiTheme="minorEastAsia" w:eastAsiaTheme="minorEastAsia" w:hAnsiTheme="minorEastAsia" w:cstheme="minorEastAsia" w:hint="eastAsia"/>
                <w:i w:val="0"/>
                <w:strike w:val="0"/>
                <w:color w:val="000000"/>
                <w:kern w:val="2"/>
                <w:sz w:val="24"/>
                <w:szCs w:val="24"/>
                <w:u w:val="none"/>
                <w:lang w:val="en-US" w:eastAsia="zh-CN" w:bidi="ar-SA"/>
              </w:rPr>
              <w:t>万元</w:t>
            </w:r>
            <w:r>
              <w:rPr>
                <w:rFonts w:asciiTheme="minorEastAsia" w:eastAsiaTheme="minorEastAsia" w:hAnsiTheme="minorEastAsia" w:cstheme="minorEastAsia" w:hint="default"/>
                <w:i w:val="0"/>
                <w:strike w:val="0"/>
                <w:color w:val="000000"/>
                <w:kern w:val="2"/>
                <w:sz w:val="24"/>
                <w:szCs w:val="24"/>
                <w:u w:val="none"/>
                <w:lang w:val="en-US" w:eastAsia="zh-CN" w:bidi="ar-SA"/>
              </w:rPr>
              <w:t>/年，通过初步评审的有效项目金额，计算出平均值（四舍五入保留一位小数），在该平均值以内的，以最高报价为基准价，报价等于基准价即得满分</w:t>
            </w:r>
            <w:r>
              <w:rPr>
                <w:rFonts w:asciiTheme="minorEastAsia" w:eastAsiaTheme="minorEastAsia" w:hAnsiTheme="minorEastAsia" w:cstheme="minorEastAsia" w:hint="eastAsia"/>
                <w:i w:val="0"/>
                <w:strike w:val="0"/>
                <w:color w:val="000000"/>
                <w:kern w:val="2"/>
                <w:sz w:val="24"/>
                <w:szCs w:val="24"/>
                <w:u w:val="none"/>
                <w:lang w:val="en-US" w:eastAsia="zh-CN" w:bidi="ar-SA"/>
              </w:rPr>
              <w:t>40</w:t>
            </w:r>
            <w:r>
              <w:rPr>
                <w:rFonts w:asciiTheme="minorEastAsia" w:eastAsiaTheme="minorEastAsia" w:hAnsiTheme="minorEastAsia" w:cstheme="minorEastAsia" w:hint="default"/>
                <w:i w:val="0"/>
                <w:strike w:val="0"/>
                <w:color w:val="000000"/>
                <w:kern w:val="2"/>
                <w:sz w:val="24"/>
                <w:szCs w:val="24"/>
                <w:u w:val="none"/>
                <w:lang w:val="en-US" w:eastAsia="zh-CN" w:bidi="ar-SA"/>
              </w:rPr>
              <w:t>分。报名方报价每低于基准价一个百分点扣1分，扣完项目为止。报名方报价超过该平均值的，报价每超过该平均值一个百分点扣0.5分，扣完项目分为止。</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400"/>
          <w:jc w:val="center"/>
        </w:trPr>
        <w:tc>
          <w:tcPr>
            <w:tcW w:w="871"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asciiTheme="minorEastAsia" w:eastAsiaTheme="minorEastAsia" w:hAnsiTheme="minorEastAsia" w:cstheme="minorEastAsia" w:hint="eastAsia"/>
                <w:sz w:val="24"/>
                <w:szCs w:val="24"/>
              </w:rPr>
            </w:pPr>
          </w:p>
        </w:tc>
        <w:tc>
          <w:tcPr>
            <w:tcW w:w="1236"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i w:val="0"/>
                <w:strike w:val="0"/>
                <w:color w:val="000000"/>
                <w:kern w:val="2"/>
                <w:sz w:val="24"/>
                <w:szCs w:val="24"/>
                <w:u w:val="none"/>
                <w:lang w:val="en-US" w:eastAsia="zh-CN" w:bidi="ar-SA"/>
              </w:rPr>
              <w:t>年销售额分成报价（20分）</w:t>
            </w:r>
          </w:p>
        </w:tc>
        <w:tc>
          <w:tcPr>
            <w:tcW w:w="7260" w:type="dxa"/>
            <w:gridSpan w:val="2"/>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1.基准分（4分）：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响应人报出的各阶梯提成比例均不低于表中规定的基准比例（第一阶梯≥2%、第二阶梯≥3%、第三阶梯≥4%、第四阶梯≥5%），即可获得基准分4分。​</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2.加分项（最高加16分）：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在满足基准比例的基础上，响应人报出的任一阶梯提成比例每高于对应基准比例1个百分点，可加2分，不足1个百分点，不加分。四个阶梯中，每个阶梯最多加4分</w:t>
            </w:r>
            <w:r>
              <w:rPr>
                <w:rFonts w:asciiTheme="minorEastAsia" w:eastAsiaTheme="minorEastAsia" w:hAnsiTheme="minorEastAsia" w:cstheme="minorEastAsia" w:hint="eastAsia"/>
                <w:color w:val="000000"/>
                <w:u w:val="none"/>
              </w:rPr>
              <w:t>（即最多计算2个百分点）</w:t>
            </w:r>
            <w:r>
              <w:rPr>
                <w:rFonts w:asciiTheme="minorEastAsia" w:eastAsiaTheme="minorEastAsia" w:hAnsiTheme="minorEastAsia" w:cstheme="minorEastAsia" w:hint="eastAsia"/>
                <w:i w:val="0"/>
                <w:strike w:val="0"/>
                <w:color w:val="000000"/>
                <w:kern w:val="2"/>
                <w:sz w:val="24"/>
                <w:szCs w:val="24"/>
                <w:u w:val="none"/>
                <w:lang w:val="en-US" w:eastAsia="zh-CN" w:bidi="ar-SA"/>
              </w:rPr>
              <w:t>，累计最高加16分。</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420"/>
      <w:jc w:val="both"/>
    </w:pPr>
    <w:rPr>
      <w:rFonts w:ascii="仿宋_GB2312" w:eastAsia="仿宋_GB2312" w:hAnsi="仿宋_GB2312" w:cstheme="minorBidi"/>
      <w:kern w:val="2"/>
      <w:sz w:val="32"/>
      <w:szCs w:val="3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NormalWeb">
    <w:name w:val="Normal (Web)"/>
    <w:qFormat/>
    <w:pPr>
      <w:widowControl w:val="0"/>
      <w:jc w:val="both"/>
    </w:pPr>
    <w:rPr>
      <w:rFonts w:ascii="Calibri" w:eastAsia="宋体" w:hAnsi="Calibri" w:cs="Times New Roman"/>
      <w:kern w:val="2"/>
      <w:sz w:val="24"/>
      <w:szCs w:val="24"/>
      <w:lang w:val="en-US" w:eastAsia="zh-CN" w:bidi="ar-SA"/>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2026-07-14T09:16:00Z</dcterms:created>
  <dcterms:modified xsi:type="dcterms:W3CDTF">2026-07-14T09:18:56Z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EB72C16F68394C6691F1ABDF7BF3D5B4_13</vt:lpwstr>
  </property>
  <property fmtid="{D5CDD505-2E9C-101B-9397-08002B2CF9AE}" pid="3" name="KSOProductBuildVer">
    <vt:lpwstr>2052-12.1.0.26895</vt:lpwstr>
  </property>
  <property fmtid="{D5CDD505-2E9C-101B-9397-08002B2CF9AE}" pid="4" name="KSOTemplateDocerSaveRecord">
    <vt:lpwstr>eyJoZGlkIjoiNDI5MzA0NTI3ZjBiNDg0ZTg4ZDRjNDJjOTEyOTk1ZmQiLCJ1c2VySWQiOiIyNDQwNDU1OTYifQ==</vt:lpwstr>
  </property>
</Properties>
</file>