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pStyle w:val="NormalWeb"/>
        <w:shd w:val="clear" w:color="auto" w:fill="FFFFFF"/>
        <w:spacing w:before="0" w:beforeAutospacing="0" w:after="0" w:afterAutospacing="0" w:line="360" w:lineRule="auto"/>
        <w:rPr>
          <w:rFonts w:cs="Times New Roman"/>
          <w:b/>
          <w:bCs/>
          <w:kern w:val="2"/>
          <w:highlight w:val="none"/>
        </w:rPr>
      </w:pPr>
      <w:r>
        <w:rPr>
          <w:rFonts w:cs="Times New Roman" w:hint="eastAsia"/>
          <w:b/>
          <w:bCs/>
          <w:kern w:val="2"/>
          <w:highlight w:val="none"/>
        </w:rPr>
        <w:t>附件1：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sz w:val="32"/>
          <w:szCs w:val="32"/>
          <w:highlight w:val="none"/>
        </w:rPr>
      </w:pPr>
      <w:r>
        <w:rPr>
          <w:rFonts w:hint="eastAsia"/>
          <w:b/>
          <w:sz w:val="32"/>
          <w:szCs w:val="32"/>
          <w:highlight w:val="none"/>
        </w:rPr>
        <w:t>商家报名资料</w:t>
      </w:r>
      <w:r>
        <w:rPr>
          <w:b/>
          <w:sz w:val="32"/>
          <w:szCs w:val="32"/>
          <w:highlight w:val="none"/>
        </w:rPr>
        <w:t>清单</w:t>
      </w:r>
    </w:p>
    <w:p>
      <w:pPr>
        <w:pStyle w:val="2"/>
        <w:numPr>
          <w:ilvl w:val="0"/>
          <w:numId w:val="1"/>
        </w:numPr>
        <w:spacing w:line="276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ascii="宋体" w:hAnsi="宋体"/>
          <w:b/>
          <w:sz w:val="24"/>
          <w:szCs w:val="24"/>
          <w:highlight w:val="none"/>
        </w:rPr>
        <w:t>基本材料</w:t>
      </w:r>
      <w:r>
        <w:rPr>
          <w:rFonts w:ascii="宋体" w:hAnsi="宋体" w:hint="eastAsia"/>
          <w:b/>
          <w:sz w:val="24"/>
          <w:szCs w:val="24"/>
          <w:highlight w:val="none"/>
          <w:lang w:eastAsia="zh-CN"/>
        </w:rPr>
        <w:t>：</w:t>
      </w:r>
    </w:p>
    <w:p>
      <w:pPr>
        <w:pStyle w:val="2"/>
        <w:numPr>
          <w:ilvl w:val="0"/>
          <w:numId w:val="2"/>
        </w:numPr>
        <w:spacing w:line="276" w:lineRule="auto"/>
        <w:ind w:left="0" w:firstLine="530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</w:rPr>
        <w:t>租赁申请、</w:t>
      </w:r>
      <w:r>
        <w:rPr>
          <w:rFonts w:ascii="宋体" w:hAnsi="宋体" w:hint="eastAsia"/>
          <w:sz w:val="24"/>
          <w:szCs w:val="24"/>
          <w:highlight w:val="none"/>
          <w:lang w:val="en-US" w:eastAsia="zh-CN"/>
        </w:rPr>
        <w:t>经营</w:t>
      </w:r>
      <w:r>
        <w:rPr>
          <w:rFonts w:ascii="宋体" w:hAnsi="宋体"/>
          <w:sz w:val="24"/>
          <w:szCs w:val="24"/>
          <w:highlight w:val="none"/>
        </w:rPr>
        <w:t>保证书</w:t>
      </w:r>
      <w:r>
        <w:rPr>
          <w:rFonts w:ascii="宋体" w:hAnsi="宋体" w:hint="eastAsia"/>
          <w:sz w:val="24"/>
          <w:szCs w:val="24"/>
          <w:highlight w:val="none"/>
        </w:rPr>
        <w:t>（参见</w:t>
      </w:r>
      <w:r>
        <w:rPr>
          <w:rFonts w:ascii="宋体" w:hAnsi="宋体"/>
          <w:sz w:val="24"/>
          <w:szCs w:val="24"/>
          <w:highlight w:val="none"/>
        </w:rPr>
        <w:t>附件</w:t>
      </w:r>
      <w:r>
        <w:rPr>
          <w:rFonts w:ascii="宋体" w:hAnsi="宋体" w:hint="eastAsia"/>
          <w:sz w:val="24"/>
          <w:szCs w:val="24"/>
          <w:highlight w:val="none"/>
        </w:rPr>
        <w:t>3）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；</w:t>
      </w:r>
    </w:p>
    <w:p>
      <w:pPr>
        <w:pStyle w:val="ListParagraph"/>
        <w:numPr>
          <w:ilvl w:val="0"/>
          <w:numId w:val="2"/>
        </w:numPr>
        <w:spacing w:line="276" w:lineRule="auto"/>
        <w:ind w:left="2" w:firstLine="528"/>
        <w:rPr>
          <w:rFonts w:ascii="宋体" w:hAnsi="宋体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企业营业执照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/个体工商户营业执照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、税务登记证、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开户许可证、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组织机构代码证副本（或有统一企业社会信用代码的三证合一经营执照副本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，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个体工商户无需组织机构代码证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）复印件加盖公章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2"/>
        <w:numPr>
          <w:ilvl w:val="0"/>
          <w:numId w:val="2"/>
        </w:numPr>
        <w:spacing w:line="276" w:lineRule="auto"/>
        <w:ind w:left="0" w:firstLine="530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</w:rPr>
        <w:t>法定代表人授权委托书、法定代表人身份证复印件、被授权人身份证复印件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；</w:t>
      </w:r>
    </w:p>
    <w:p>
      <w:pPr>
        <w:pStyle w:val="2"/>
        <w:numPr>
          <w:ilvl w:val="0"/>
          <w:numId w:val="2"/>
        </w:numPr>
        <w:spacing w:line="276" w:lineRule="auto"/>
        <w:ind w:left="0" w:firstLine="530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</w:rPr>
        <w:t>品牌</w:t>
      </w:r>
      <w:r>
        <w:rPr>
          <w:rFonts w:ascii="宋体" w:hAnsi="宋体"/>
          <w:sz w:val="24"/>
          <w:szCs w:val="24"/>
          <w:highlight w:val="none"/>
        </w:rPr>
        <w:t>商标注册证</w:t>
      </w:r>
      <w:r>
        <w:rPr>
          <w:rFonts w:ascii="宋体" w:hAnsi="宋体" w:hint="eastAsia"/>
          <w:sz w:val="24"/>
          <w:szCs w:val="24"/>
          <w:highlight w:val="none"/>
        </w:rPr>
        <w:t>、</w:t>
      </w:r>
      <w:r>
        <w:rPr>
          <w:rFonts w:ascii="宋体" w:hAnsi="宋体"/>
          <w:sz w:val="24"/>
          <w:szCs w:val="24"/>
          <w:highlight w:val="none"/>
        </w:rPr>
        <w:t>代理</w:t>
      </w:r>
      <w:r>
        <w:rPr>
          <w:rFonts w:ascii="宋体" w:hAnsi="宋体" w:hint="eastAsia"/>
          <w:sz w:val="24"/>
          <w:szCs w:val="24"/>
          <w:highlight w:val="none"/>
        </w:rPr>
        <w:t>或</w:t>
      </w:r>
      <w:r>
        <w:rPr>
          <w:rFonts w:ascii="宋体" w:hAnsi="宋体"/>
          <w:sz w:val="24"/>
          <w:szCs w:val="24"/>
          <w:highlight w:val="none"/>
        </w:rPr>
        <w:t>加盟品牌的授权书或预授权</w:t>
      </w:r>
      <w:r>
        <w:rPr>
          <w:rFonts w:ascii="宋体" w:hAnsi="宋体" w:hint="eastAsia"/>
          <w:sz w:val="24"/>
          <w:szCs w:val="24"/>
          <w:highlight w:val="none"/>
        </w:rPr>
        <w:t>、品牌介绍资料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（</w:t>
      </w:r>
      <w:r>
        <w:rPr>
          <w:rFonts w:ascii="宋体" w:hAnsi="宋体" w:hint="eastAsia"/>
          <w:sz w:val="24"/>
          <w:szCs w:val="24"/>
          <w:highlight w:val="none"/>
          <w:lang w:val="en-US" w:eastAsia="zh-CN"/>
        </w:rPr>
        <w:t>品牌名小吃类请提供相关证明材料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）；</w:t>
      </w:r>
    </w:p>
    <w:p>
      <w:pPr>
        <w:pStyle w:val="10"/>
        <w:numPr>
          <w:ilvl w:val="0"/>
          <w:numId w:val="2"/>
        </w:numPr>
        <w:spacing w:line="276" w:lineRule="auto"/>
        <w:ind w:left="0" w:firstLine="530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lang w:val="en-US" w:eastAsia="zh-CN"/>
        </w:rPr>
        <w:t>商家开店数量证明材料。</w:t>
      </w:r>
    </w:p>
    <w:p>
      <w:pPr>
        <w:pStyle w:val="2"/>
        <w:numPr>
          <w:ilvl w:val="0"/>
          <w:numId w:val="1"/>
        </w:numPr>
        <w:spacing w:line="276" w:lineRule="auto"/>
        <w:ind w:left="0" w:firstLine="0"/>
        <w:rPr>
          <w:rFonts w:ascii="宋体" w:hAnsi="宋体"/>
          <w:b/>
          <w:sz w:val="24"/>
          <w:szCs w:val="24"/>
          <w:highlight w:val="none"/>
        </w:rPr>
      </w:pPr>
      <w:r>
        <w:rPr>
          <w:rFonts w:ascii="宋体" w:hAnsi="宋体" w:hint="eastAsia"/>
          <w:b/>
          <w:sz w:val="24"/>
          <w:szCs w:val="24"/>
          <w:highlight w:val="none"/>
        </w:rPr>
        <w:t>财务</w:t>
      </w:r>
      <w:r>
        <w:rPr>
          <w:rFonts w:ascii="宋体" w:hAnsi="宋体" w:hint="eastAsia"/>
          <w:b/>
          <w:sz w:val="24"/>
          <w:szCs w:val="24"/>
          <w:highlight w:val="none"/>
          <w:lang w:val="en-US" w:eastAsia="zh-CN"/>
        </w:rPr>
        <w:t>资料（务必清晰准确）</w:t>
      </w:r>
      <w:r>
        <w:rPr>
          <w:rFonts w:ascii="宋体" w:hAnsi="宋体" w:hint="eastAsia"/>
          <w:b/>
          <w:sz w:val="24"/>
          <w:szCs w:val="24"/>
          <w:highlight w:val="none"/>
        </w:rPr>
        <w:t>：</w:t>
      </w:r>
    </w:p>
    <w:p>
      <w:pPr>
        <w:pStyle w:val="2"/>
        <w:numPr>
          <w:ilvl w:val="0"/>
          <w:numId w:val="3"/>
        </w:numPr>
        <w:spacing w:line="276" w:lineRule="auto"/>
        <w:ind w:left="907" w:hanging="277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</w:rPr>
        <w:t>银行资信证明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；</w:t>
      </w:r>
    </w:p>
    <w:p>
      <w:pPr>
        <w:pStyle w:val="2"/>
        <w:numPr>
          <w:ilvl w:val="0"/>
          <w:numId w:val="3"/>
        </w:numPr>
        <w:spacing w:line="276" w:lineRule="auto"/>
        <w:ind w:left="907" w:hanging="277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  <w:lang w:val="en-US" w:eastAsia="zh-CN"/>
        </w:rPr>
        <w:t>近三年财务报表；</w:t>
      </w:r>
    </w:p>
    <w:p>
      <w:pPr>
        <w:pStyle w:val="2"/>
        <w:numPr>
          <w:ilvl w:val="0"/>
          <w:numId w:val="3"/>
        </w:numPr>
        <w:spacing w:line="276" w:lineRule="auto"/>
        <w:ind w:left="907" w:hanging="277"/>
        <w:rPr>
          <w:rFonts w:ascii="宋体" w:hAnsi="宋体"/>
          <w:sz w:val="24"/>
          <w:szCs w:val="24"/>
          <w:highlight w:val="none"/>
        </w:rPr>
      </w:pPr>
      <w:r>
        <w:rPr>
          <w:rFonts w:ascii="宋体" w:hAnsi="宋体" w:hint="eastAsia"/>
          <w:sz w:val="24"/>
          <w:szCs w:val="24"/>
          <w:highlight w:val="none"/>
        </w:rPr>
        <w:t>近半年银行存款余额</w:t>
      </w:r>
      <w:bookmarkStart w:id="0" w:name="_GoBack"/>
      <w:bookmarkEnd w:id="0"/>
      <w:r>
        <w:rPr>
          <w:rFonts w:ascii="宋体" w:hAnsi="宋体" w:hint="eastAsia"/>
          <w:sz w:val="24"/>
          <w:szCs w:val="24"/>
          <w:highlight w:val="none"/>
        </w:rPr>
        <w:t>证明</w:t>
      </w:r>
      <w:r>
        <w:rPr>
          <w:rFonts w:ascii="宋体" w:hAnsi="宋体" w:hint="eastAsia"/>
          <w:sz w:val="24"/>
          <w:szCs w:val="24"/>
          <w:highlight w:val="none"/>
          <w:lang w:eastAsia="zh-CN"/>
        </w:rPr>
        <w:t>。</w:t>
      </w:r>
    </w:p>
    <w:p>
      <w:pPr>
        <w:pStyle w:val="2"/>
        <w:numPr>
          <w:ilvl w:val="0"/>
          <w:numId w:val="1"/>
        </w:numPr>
        <w:spacing w:line="276" w:lineRule="auto"/>
        <w:rPr>
          <w:rFonts w:ascii="宋体" w:hAnsi="宋体"/>
          <w:b/>
          <w:sz w:val="24"/>
          <w:szCs w:val="24"/>
          <w:highlight w:val="none"/>
        </w:rPr>
      </w:pPr>
      <w:r>
        <w:rPr>
          <w:rFonts w:ascii="宋体" w:hAnsi="宋体" w:hint="eastAsia"/>
          <w:b/>
          <w:sz w:val="24"/>
          <w:szCs w:val="24"/>
          <w:highlight w:val="none"/>
        </w:rPr>
        <w:t>经营方案：</w:t>
      </w:r>
    </w:p>
    <w:p>
      <w:pPr>
        <w:pStyle w:val="2"/>
        <w:numPr>
          <w:ilvl w:val="0"/>
          <w:numId w:val="4"/>
        </w:numPr>
        <w:spacing w:line="276" w:lineRule="auto"/>
        <w:ind w:left="904" w:hanging="274"/>
        <w:rPr>
          <w:rFonts w:ascii="宋体" w:hAnsi="宋体"/>
          <w:color w:val="000000" w:themeColor="text1"/>
          <w:sz w:val="24"/>
          <w:szCs w:val="24"/>
          <w:highlight w:val="none"/>
        </w:rPr>
      </w:pP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提供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本项目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经营方案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。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方案包含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</w:rPr>
        <w:t>但不限于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：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</w:rPr>
        <w:t>销售预测及分析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  <w:lang w:eastAsia="zh-CN"/>
        </w:rPr>
        <w:t>、</w:t>
      </w:r>
      <w:r>
        <w:rPr>
          <w:rFonts w:ascii="宋体" w:hAnsi="宋体" w:hint="eastAsia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经营理念、售卖商品/菜品种类及定价（须提供同城同质商品/菜品价格下浮比例方案）、员工优惠方案、营业时间、休假安排等内容；</w:t>
      </w:r>
    </w:p>
    <w:p>
      <w:pPr>
        <w:pStyle w:val="2"/>
        <w:numPr>
          <w:ilvl w:val="0"/>
          <w:numId w:val="4"/>
        </w:numPr>
        <w:spacing w:line="276" w:lineRule="auto"/>
        <w:ind w:left="904" w:hanging="274"/>
        <w:rPr>
          <w:rFonts w:ascii="宋体" w:hAnsi="宋体"/>
          <w:color w:val="000000" w:themeColor="text1"/>
          <w:sz w:val="24"/>
          <w:szCs w:val="24"/>
          <w:highlight w:val="none"/>
        </w:rPr>
      </w:pPr>
      <w:r>
        <w:rPr>
          <w:rFonts w:ascii="宋体" w:hAnsi="宋体" w:hint="eastAsia"/>
          <w:color w:val="000000" w:themeColor="text1"/>
          <w:sz w:val="24"/>
          <w:szCs w:val="24"/>
          <w:highlight w:val="none"/>
          <w:lang w:val="en-US" w:eastAsia="zh-CN"/>
        </w:rPr>
        <w:t>装修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</w:rPr>
        <w:t>投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  <w:lang w:val="en-US" w:eastAsia="zh-CN"/>
        </w:rPr>
        <w:t>入及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</w:rPr>
        <w:t>效果图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  <w:lang w:eastAsia="zh-CN"/>
        </w:rPr>
        <w:t>；</w:t>
      </w:r>
    </w:p>
    <w:p>
      <w:pPr>
        <w:pStyle w:val="2"/>
        <w:numPr>
          <w:ilvl w:val="0"/>
          <w:numId w:val="4"/>
        </w:numPr>
        <w:spacing w:line="276" w:lineRule="auto"/>
        <w:ind w:left="904" w:hanging="274"/>
        <w:rPr>
          <w:rFonts w:ascii="宋体" w:hAnsi="宋体"/>
          <w:color w:val="000000" w:themeColor="text1"/>
          <w:sz w:val="24"/>
          <w:szCs w:val="24"/>
          <w:highlight w:val="none"/>
        </w:rPr>
      </w:pPr>
      <w:r>
        <w:rPr>
          <w:rFonts w:ascii="宋体" w:hAnsi="宋体" w:hint="eastAsia"/>
          <w:color w:val="000000" w:themeColor="text1"/>
          <w:sz w:val="24"/>
          <w:szCs w:val="24"/>
          <w:highlight w:val="none"/>
        </w:rPr>
        <w:t>近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  <w:lang w:val="en-US" w:eastAsia="zh-CN"/>
        </w:rPr>
        <w:t>3</w:t>
      </w:r>
      <w:r>
        <w:rPr>
          <w:rFonts w:ascii="宋体" w:hAnsi="宋体" w:hint="eastAsia"/>
          <w:color w:val="000000" w:themeColor="text1"/>
          <w:sz w:val="24"/>
          <w:szCs w:val="24"/>
          <w:highlight w:val="none"/>
        </w:rPr>
        <w:t>年获奖证明。</w:t>
      </w:r>
    </w:p>
    <w:p>
      <w:pPr>
        <w:pStyle w:val="ListParagraph"/>
        <w:numPr>
          <w:ilvl w:val="0"/>
          <w:numId w:val="0"/>
        </w:numPr>
        <w:spacing w:line="276" w:lineRule="auto"/>
        <w:rPr>
          <w:rFonts w:ascii="宋体" w:hAnsi="宋体"/>
          <w:b/>
          <w:bCs/>
          <w:sz w:val="24"/>
          <w:szCs w:val="24"/>
          <w:highlight w:val="none"/>
        </w:rPr>
      </w:pPr>
      <w:r>
        <w:rPr>
          <w:rFonts w:ascii="宋体" w:hAnsi="宋体" w:hint="eastAsia"/>
          <w:b/>
          <w:bCs/>
          <w:sz w:val="24"/>
          <w:szCs w:val="24"/>
          <w:highlight w:val="none"/>
          <w:lang w:val="en-US" w:eastAsia="zh-CN"/>
        </w:rPr>
        <w:t xml:space="preserve">四、  </w:t>
      </w:r>
      <w:r>
        <w:rPr>
          <w:rFonts w:ascii="宋体" w:hAnsi="宋体" w:hint="eastAsia"/>
          <w:b/>
          <w:bCs/>
          <w:sz w:val="24"/>
          <w:szCs w:val="24"/>
          <w:highlight w:val="none"/>
        </w:rPr>
        <w:t>公司管理制度：</w:t>
      </w:r>
    </w:p>
    <w:p>
      <w:pPr>
        <w:spacing w:line="276" w:lineRule="auto"/>
        <w:ind w:firstLine="723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b/>
          <w:bCs/>
          <w:color w:val="auto"/>
          <w:sz w:val="24"/>
          <w:szCs w:val="24"/>
          <w:highlight w:val="none"/>
          <w:shd w:val="clear" w:color="auto" w:fill="auto"/>
        </w:rPr>
        <w:t>商家请提供</w:t>
      </w:r>
      <w:r>
        <w:rPr>
          <w:rFonts w:ascii="宋体" w:hAnsi="宋体" w:cs="仿宋" w:hint="eastAsia"/>
          <w:b/>
          <w:bCs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包含且不限于以下的材料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：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卫生保洁制度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从业人员培训和健康检查制度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消防、用电、用气安全检查制度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库房管理制度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食品采购、验收管理制度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食品安全预防及事故处理制度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厨房操作管理制度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；</w:t>
      </w:r>
    </w:p>
    <w:p>
      <w:pPr>
        <w:pStyle w:val="1"/>
        <w:numPr>
          <w:ilvl w:val="0"/>
          <w:numId w:val="5"/>
        </w:numPr>
        <w:spacing w:line="276" w:lineRule="auto"/>
        <w:ind w:left="993" w:hanging="567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  <w:lang w:val="en-US"/>
        </w:rPr>
      </w:pP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</w:rPr>
        <w:t>服务操作管理制度</w:t>
      </w:r>
      <w:r>
        <w:rPr>
          <w:rFonts w:ascii="宋体" w:hAnsi="宋体" w:cs="仿宋" w:hint="eastAsia"/>
          <w:color w:val="auto"/>
          <w:sz w:val="24"/>
          <w:szCs w:val="24"/>
          <w:highlight w:val="none"/>
          <w:shd w:val="clear" w:color="auto" w:fill="auto"/>
          <w:lang w:eastAsia="zh-CN"/>
        </w:rPr>
        <w:t>。</w:t>
      </w:r>
    </w:p>
    <w:p>
      <w:pPr>
        <w:pStyle w:val="1"/>
        <w:widowControl w:val="0"/>
        <w:numPr>
          <w:ilvl w:val="0"/>
          <w:numId w:val="0"/>
        </w:numPr>
        <w:spacing w:line="276" w:lineRule="auto"/>
        <w:jc w:val="both"/>
        <w:rPr>
          <w:rFonts w:ascii="宋体" w:hAnsi="宋体" w:cs="仿宋"/>
          <w:color w:val="auto"/>
          <w:sz w:val="24"/>
          <w:szCs w:val="24"/>
          <w:highlight w:val="none"/>
          <w:shd w:val="clear" w:color="auto" w:fill="auto"/>
          <w:lang w:val="en-US"/>
        </w:rPr>
      </w:pPr>
    </w:p>
    <w:p>
      <w:pPr>
        <w:pStyle w:val="1"/>
        <w:numPr>
          <w:ilvl w:val="0"/>
          <w:numId w:val="0"/>
        </w:numPr>
        <w:spacing w:line="276" w:lineRule="auto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47E1"/>
    <w:multiLevelType w:val="multilevel"/>
    <w:tmpl w:val="096347E1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6B48B7"/>
    <w:multiLevelType w:val="multilevel"/>
    <w:tmpl w:val="5F6B48B7"/>
    <w:lvl w:ilvl="0">
      <w:start w:val="1"/>
      <w:numFmt w:val="decimal"/>
      <w:lvlText w:val="%1."/>
      <w:lvlJc w:val="left"/>
      <w:pPr>
        <w:ind w:left="986" w:hanging="420"/>
      </w:pPr>
    </w:lvl>
    <w:lvl w:ilvl="1">
      <w:start w:val="1"/>
      <w:numFmt w:val="lowerLetter"/>
      <w:lvlText w:val="%2)"/>
      <w:lvlJc w:val="left"/>
      <w:pPr>
        <w:ind w:left="1406" w:hanging="420"/>
      </w:pPr>
    </w:lvl>
    <w:lvl w:ilvl="2">
      <w:start w:val="1"/>
      <w:numFmt w:val="lowerRoman"/>
      <w:lvlText w:val="%3."/>
      <w:lvlJc w:val="right"/>
      <w:pPr>
        <w:ind w:left="1826" w:hanging="420"/>
      </w:pPr>
    </w:lvl>
    <w:lvl w:ilvl="3">
      <w:start w:val="1"/>
      <w:numFmt w:val="decimal"/>
      <w:lvlText w:val="%4."/>
      <w:lvlJc w:val="left"/>
      <w:pPr>
        <w:ind w:left="2246" w:hanging="420"/>
      </w:pPr>
    </w:lvl>
    <w:lvl w:ilvl="4">
      <w:start w:val="1"/>
      <w:numFmt w:val="lowerLetter"/>
      <w:lvlText w:val="%5)"/>
      <w:lvlJc w:val="left"/>
      <w:pPr>
        <w:ind w:left="2666" w:hanging="420"/>
      </w:pPr>
    </w:lvl>
    <w:lvl w:ilvl="5">
      <w:start w:val="1"/>
      <w:numFmt w:val="lowerRoman"/>
      <w:lvlText w:val="%6."/>
      <w:lvlJc w:val="right"/>
      <w:pPr>
        <w:ind w:left="3086" w:hanging="420"/>
      </w:pPr>
    </w:lvl>
    <w:lvl w:ilvl="6">
      <w:start w:val="1"/>
      <w:numFmt w:val="decimal"/>
      <w:lvlText w:val="%7."/>
      <w:lvlJc w:val="left"/>
      <w:pPr>
        <w:ind w:left="3506" w:hanging="420"/>
      </w:pPr>
    </w:lvl>
    <w:lvl w:ilvl="7">
      <w:start w:val="1"/>
      <w:numFmt w:val="lowerLetter"/>
      <w:lvlText w:val="%8)"/>
      <w:lvlJc w:val="left"/>
      <w:pPr>
        <w:ind w:left="3926" w:hanging="420"/>
      </w:pPr>
    </w:lvl>
    <w:lvl w:ilvl="8">
      <w:start w:val="1"/>
      <w:numFmt w:val="lowerRoman"/>
      <w:lvlText w:val="%9."/>
      <w:lvlJc w:val="right"/>
      <w:pPr>
        <w:ind w:left="4346" w:hanging="420"/>
      </w:pPr>
    </w:lvl>
  </w:abstractNum>
  <w:abstractNum w:abstractNumId="2">
    <w:nsid w:val="6B113B94"/>
    <w:multiLevelType w:val="multilevel"/>
    <w:tmpl w:val="6B113B94"/>
    <w:lvl w:ilvl="0">
      <w:start w:val="1"/>
      <w:numFmt w:val="decimal"/>
      <w:lvlText w:val="%1."/>
      <w:lvlJc w:val="left"/>
      <w:pPr>
        <w:ind w:left="907" w:hanging="420"/>
      </w:pPr>
    </w:lvl>
    <w:lvl w:ilvl="1">
      <w:start w:val="1"/>
      <w:numFmt w:val="lowerLetter"/>
      <w:lvlText w:val="%2)"/>
      <w:lvlJc w:val="left"/>
      <w:pPr>
        <w:ind w:left="1327" w:hanging="420"/>
      </w:pPr>
    </w:lvl>
    <w:lvl w:ilvl="2">
      <w:start w:val="1"/>
      <w:numFmt w:val="lowerRoman"/>
      <w:lvlText w:val="%3."/>
      <w:lvlJc w:val="right"/>
      <w:pPr>
        <w:ind w:left="1747" w:hanging="420"/>
      </w:pPr>
    </w:lvl>
    <w:lvl w:ilvl="3">
      <w:start w:val="1"/>
      <w:numFmt w:val="decimal"/>
      <w:lvlText w:val="%4."/>
      <w:lvlJc w:val="left"/>
      <w:pPr>
        <w:ind w:left="2167" w:hanging="420"/>
      </w:pPr>
    </w:lvl>
    <w:lvl w:ilvl="4">
      <w:start w:val="1"/>
      <w:numFmt w:val="lowerLetter"/>
      <w:lvlText w:val="%5)"/>
      <w:lvlJc w:val="left"/>
      <w:pPr>
        <w:ind w:left="2587" w:hanging="420"/>
      </w:pPr>
    </w:lvl>
    <w:lvl w:ilvl="5">
      <w:start w:val="1"/>
      <w:numFmt w:val="lowerRoman"/>
      <w:lvlText w:val="%6."/>
      <w:lvlJc w:val="right"/>
      <w:pPr>
        <w:ind w:left="3007" w:hanging="420"/>
      </w:pPr>
    </w:lvl>
    <w:lvl w:ilvl="6">
      <w:start w:val="1"/>
      <w:numFmt w:val="decimal"/>
      <w:lvlText w:val="%7."/>
      <w:lvlJc w:val="left"/>
      <w:pPr>
        <w:ind w:left="3427" w:hanging="420"/>
      </w:pPr>
    </w:lvl>
    <w:lvl w:ilvl="7">
      <w:start w:val="1"/>
      <w:numFmt w:val="lowerLetter"/>
      <w:lvlText w:val="%8)"/>
      <w:lvlJc w:val="left"/>
      <w:pPr>
        <w:ind w:left="3847" w:hanging="420"/>
      </w:pPr>
    </w:lvl>
    <w:lvl w:ilvl="8">
      <w:start w:val="1"/>
      <w:numFmt w:val="lowerRoman"/>
      <w:lvlText w:val="%9."/>
      <w:lvlJc w:val="right"/>
      <w:pPr>
        <w:ind w:left="4267" w:hanging="420"/>
      </w:pPr>
    </w:lvl>
  </w:abstractNum>
  <w:abstractNum w:abstractNumId="3">
    <w:nsid w:val="73FB4509"/>
    <w:multiLevelType w:val="multilevel"/>
    <w:tmpl w:val="73FB4509"/>
    <w:lvl w:ilvl="0">
      <w:start w:val="1"/>
      <w:numFmt w:val="decimal"/>
      <w:lvlText w:val="%1."/>
      <w:lvlJc w:val="left"/>
      <w:pPr>
        <w:ind w:left="904" w:hanging="420"/>
      </w:pPr>
    </w:lvl>
    <w:lvl w:ilvl="1">
      <w:start w:val="1"/>
      <w:numFmt w:val="lowerLetter"/>
      <w:lvlText w:val="%2)"/>
      <w:lvlJc w:val="left"/>
      <w:pPr>
        <w:ind w:left="1324" w:hanging="420"/>
      </w:pPr>
    </w:lvl>
    <w:lvl w:ilvl="2">
      <w:start w:val="1"/>
      <w:numFmt w:val="lowerRoman"/>
      <w:lvlText w:val="%3."/>
      <w:lvlJc w:val="right"/>
      <w:pPr>
        <w:ind w:left="1744" w:hanging="420"/>
      </w:pPr>
    </w:lvl>
    <w:lvl w:ilvl="3">
      <w:start w:val="1"/>
      <w:numFmt w:val="decimal"/>
      <w:lvlText w:val="%4."/>
      <w:lvlJc w:val="left"/>
      <w:pPr>
        <w:ind w:left="2164" w:hanging="420"/>
      </w:pPr>
    </w:lvl>
    <w:lvl w:ilvl="4">
      <w:start w:val="1"/>
      <w:numFmt w:val="lowerLetter"/>
      <w:lvlText w:val="%5)"/>
      <w:lvlJc w:val="left"/>
      <w:pPr>
        <w:ind w:left="2584" w:hanging="420"/>
      </w:pPr>
    </w:lvl>
    <w:lvl w:ilvl="5">
      <w:start w:val="1"/>
      <w:numFmt w:val="lowerRoman"/>
      <w:lvlText w:val="%6."/>
      <w:lvlJc w:val="right"/>
      <w:pPr>
        <w:ind w:left="3004" w:hanging="420"/>
      </w:pPr>
    </w:lvl>
    <w:lvl w:ilvl="6">
      <w:start w:val="1"/>
      <w:numFmt w:val="decimal"/>
      <w:lvlText w:val="%7."/>
      <w:lvlJc w:val="left"/>
      <w:pPr>
        <w:ind w:left="3424" w:hanging="420"/>
      </w:pPr>
    </w:lvl>
    <w:lvl w:ilvl="7">
      <w:start w:val="1"/>
      <w:numFmt w:val="lowerLetter"/>
      <w:lvlText w:val="%8)"/>
      <w:lvlJc w:val="left"/>
      <w:pPr>
        <w:ind w:left="3844" w:hanging="420"/>
      </w:pPr>
    </w:lvl>
    <w:lvl w:ilvl="8">
      <w:start w:val="1"/>
      <w:numFmt w:val="lowerRoman"/>
      <w:lvlText w:val="%9."/>
      <w:lvlJc w:val="right"/>
      <w:pPr>
        <w:ind w:left="4264" w:hanging="420"/>
      </w:pPr>
    </w:lvl>
  </w:abstractNum>
  <w:abstractNum w:abstractNumId="4">
    <w:nsid w:val="7E111E4D"/>
    <w:multiLevelType w:val="multilevel"/>
    <w:tmpl w:val="7E111E4D"/>
    <w:lvl w:ilvl="0">
      <w:start w:val="1"/>
      <w:numFmt w:val="decimal"/>
      <w:lvlText w:val="（%1）"/>
      <w:lvlJc w:val="left"/>
      <w:pPr>
        <w:ind w:left="1161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unhideWhenUsed="0" w:qFormat="1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pPr>
      <w:ind w:firstLine="420"/>
    </w:pPr>
  </w:style>
  <w:style w:type="paragraph" w:customStyle="1" w:styleId="2">
    <w:name w:val="列出段落2"/>
    <w:basedOn w:val="Normal"/>
    <w:uiPriority w:val="99"/>
    <w:qFormat/>
    <w:pPr>
      <w:ind w:firstLine="420"/>
    </w:pPr>
  </w:style>
  <w:style w:type="paragraph" w:styleId="ListParagraph">
    <w:name w:val="List Paragraph"/>
    <w:basedOn w:val="Normal"/>
    <w:uiPriority w:val="99"/>
    <w:qFormat/>
    <w:pPr>
      <w:ind w:firstLine="420"/>
    </w:pPr>
  </w:style>
  <w:style w:type="paragraph" w:customStyle="1" w:styleId="10">
    <w:name w:val="列表段落1"/>
    <w:basedOn w:val="Normal"/>
    <w:uiPriority w:val="99"/>
    <w:qFormat/>
    <w:pPr>
      <w:ind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80</TotalTime>
  <Pages>1</Pages>
  <Words>478</Words>
  <Characters>478</Characters>
  <Application>Microsoft Office Word</Application>
  <DocSecurity>0</DocSecurity>
  <Lines>4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cp:lastPrinted>2018-11-27T03:06:00Z</cp:lastPrinted>
  <dcterms:created xsi:type="dcterms:W3CDTF">2018-10-12T06:13:00Z</dcterms:created>
  <dcterms:modified xsi:type="dcterms:W3CDTF">2026-08-05T07:40:12Z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F7F7DFE5572D4D358A81CD6CD4BE6B5E_12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eyJoZGlkIjoiZGMyMmYwNTBmMzMyNjY5ODgwZmMwM2I0MGNhZjUwY2QiLCJ1c2VySWQiOiIxNjU3MjUwNzIyIn0=</vt:lpwstr>
  </property>
</Properties>
</file>