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textAlignment w:val="baseline"/>
        <w:outlineLvl w:val="0"/>
        <w:rPr>
          <w:rFonts w:ascii="黑体" w:eastAsia="黑体" w:hAnsi="黑体" w:cs="黑体" w:hint="default"/>
          <w:spacing w:val="-9"/>
          <w:sz w:val="32"/>
          <w:szCs w:val="32"/>
          <w:highlight w:val="none"/>
          <w:lang w:val="en-US" w:eastAsia="zh-CN"/>
        </w:rPr>
      </w:pPr>
      <w:r>
        <w:rPr>
          <w:rFonts w:ascii="黑体" w:eastAsia="黑体" w:hAnsi="黑体" w:cs="黑体" w:hint="eastAsia"/>
          <w:spacing w:val="-9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560" w:lineRule="exact"/>
        <w:ind w:left="3432"/>
        <w:textAlignment w:val="baseline"/>
        <w:outlineLvl w:val="0"/>
        <w:rPr>
          <w:rFonts w:ascii="方正小标宋简体" w:eastAsia="方正小标宋简体" w:hAnsi="方正小标宋简体" w:cs="方正小标宋简体"/>
          <w:spacing w:val="8"/>
          <w:sz w:val="44"/>
          <w:szCs w:val="44"/>
          <w:highlight w:val="none"/>
        </w:rPr>
      </w:pPr>
      <w:r>
        <w:rPr>
          <w:rFonts w:ascii="方正小标宋简体" w:eastAsia="方正小标宋简体" w:hAnsi="方正小标宋简体" w:cs="方正小标宋简体" w:hint="eastAsia"/>
          <w:spacing w:val="8"/>
          <w:sz w:val="44"/>
          <w:szCs w:val="44"/>
          <w:highlight w:val="none"/>
          <w:lang w:val="en-US" w:eastAsia="zh-CN"/>
        </w:rPr>
        <w:t>综合评分</w:t>
      </w:r>
      <w:r>
        <w:rPr>
          <w:rFonts w:ascii="方正小标宋简体" w:eastAsia="方正小标宋简体" w:hAnsi="方正小标宋简体" w:cs="方正小标宋简体"/>
          <w:spacing w:val="8"/>
          <w:sz w:val="44"/>
          <w:szCs w:val="44"/>
          <w:highlight w:val="none"/>
        </w:rPr>
        <w:t>表</w:t>
      </w:r>
    </w:p>
    <w:tbl>
      <w:tblPr>
        <w:tblStyle w:val="TableNormal"/>
        <w:tblW w:w="9285" w:type="dxa"/>
        <w:tblInd w:w="91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750"/>
        <w:gridCol w:w="859"/>
        <w:gridCol w:w="6079"/>
        <w:gridCol w:w="1080"/>
      </w:tblGrid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评分项及权重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分值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评分标准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说明</w:t>
            </w: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综合实力15%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15分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Lines/>
              <w:numPr>
                <w:ilvl w:val="0"/>
                <w:numId w:val="1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合作方2023-2025年中连续三年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年均营业收入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eastAsia="zh-CN"/>
              </w:rPr>
              <w:t>：</w:t>
            </w:r>
          </w:p>
          <w:p>
            <w:pPr>
              <w:keepLines/>
              <w:numPr>
                <w:ilvl w:val="-1"/>
                <w:numId w:val="0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年均营业收入≥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00万元：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分</w:t>
            </w:r>
          </w:p>
          <w:p>
            <w:pPr>
              <w:numPr>
                <w:ilvl w:val="0"/>
                <w:numId w:val="0"/>
              </w:numPr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100万元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≤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年均营业收入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＜4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00万元：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分</w:t>
            </w:r>
          </w:p>
          <w:p>
            <w:pPr>
              <w:numPr>
                <w:ilvl w:val="0"/>
                <w:numId w:val="0"/>
              </w:numPr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50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万元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≤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年均营业收入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＜1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00万元：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分</w:t>
            </w:r>
          </w:p>
          <w:p>
            <w:pPr>
              <w:pStyle w:val="BodyTextFirstIndent21"/>
              <w:ind w:left="0" w:firstLine="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年均营业收入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＜</w:t>
            </w:r>
            <w:r>
              <w:rPr>
                <w:rFonts w:ascii="宋体" w:hAnsi="宋体" w:cs="宋体" w:hint="eastAsia"/>
                <w:color w:val="auto"/>
                <w:highlight w:val="none"/>
                <w:lang w:val="en-US" w:eastAsia="zh-CN"/>
              </w:rPr>
              <w:t>50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万元：</w:t>
            </w:r>
            <w:r>
              <w:rPr>
                <w:rFonts w:ascii="宋体" w:hAnsi="宋体" w:cs="宋体" w:hint="eastAsia"/>
                <w:color w:val="auto"/>
                <w:highlight w:val="none"/>
                <w:lang w:val="en-US" w:eastAsia="zh-CN"/>
              </w:rPr>
              <w:t>0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分</w:t>
            </w:r>
          </w:p>
          <w:p>
            <w:pPr>
              <w:keepLines/>
              <w:numPr>
                <w:ilvl w:val="0"/>
                <w:numId w:val="1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近3年平均资产负债率（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</w:rPr>
              <w:t>按合作方近3年（2023—2025年）财务报表核算的平均资产负债率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）：</w:t>
            </w:r>
          </w:p>
          <w:p>
            <w:pPr>
              <w:numPr>
                <w:ilvl w:val="0"/>
                <w:numId w:val="0"/>
              </w:numPr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</w:rPr>
              <w:t>平均资产负债率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≤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0%：2分</w:t>
            </w:r>
          </w:p>
          <w:p>
            <w:pPr>
              <w:numPr>
                <w:ilvl w:val="0"/>
                <w:numId w:val="0"/>
              </w:numPr>
              <w:rPr>
                <w:rFonts w:ascii="宋体" w:eastAsia="宋体" w:hAnsi="宋体" w:cs="宋体" w:hint="eastAsia"/>
                <w:color w:val="auto"/>
                <w:highlight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</w:rPr>
              <w:t>平均资产负债率</w:t>
            </w:r>
            <w:r>
              <w:rPr>
                <w:rFonts w:ascii="宋体" w:eastAsia="宋体" w:hAnsi="宋体" w:cs="宋体" w:hint="eastAsia"/>
                <w:color w:val="auto"/>
                <w:highlight w:val="none"/>
              </w:rPr>
              <w:t>＞50%：0分</w:t>
            </w:r>
          </w:p>
          <w:p>
            <w:pPr>
              <w:keepLines/>
              <w:numPr>
                <w:ilvl w:val="0"/>
                <w:numId w:val="0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（述两项均须提供经营期间的公司财务报表；成立未满3年的投标人，按实际经营年度核算年均值，并提供成立至今各年度的财务报表）</w:t>
            </w:r>
          </w:p>
          <w:p>
            <w:pPr>
              <w:keepLines/>
              <w:numPr>
                <w:ilvl w:val="0"/>
                <w:numId w:val="1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全国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val="en-US" w:eastAsia="zh-CN"/>
              </w:rPr>
              <w:t>机场、高铁站、大型商业综合体等钢琴展览/演奏项目直接供货或运营案例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val="en-US" w:eastAsia="zh-CN"/>
              </w:rPr>
              <w:t>每有一个有效合作案例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lang w:eastAsia="zh-CN"/>
              </w:rPr>
              <w:t>分，最多得10分。</w:t>
            </w: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（提供</w:t>
            </w: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合同</w:t>
            </w: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复印件</w:t>
            </w: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或相关证明材料</w:t>
            </w:r>
            <w:r>
              <w:rPr>
                <w:rFonts w:ascii="宋体" w:eastAsia="宋体" w:hAnsi="宋体" w:cs="宋体" w:hint="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并加盖公章，原件备查）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both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荣誉证明5%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5分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合作方或所投钢琴品牌具有省级及以上文化主管部门、行业协会（如中国乐器协会）颁发的荣誉，或官方媒体报道的正面典型。提供一个得1分，每多一个得1分，总分不超过5分，未提供的不得分。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（提供上述证明材料复印件并加盖公章，原件备查）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both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演出合作方案25%（须在评审现场展示和讲解）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25分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本评分项中所有演出人员、演奏曲目，包含但不限于钢琴类，可涵盖民乐、管弦乐等多种艺术形式。</w:t>
            </w:r>
          </w:p>
          <w:p>
            <w:pPr>
              <w:keepLines/>
              <w:numPr>
                <w:ilvl w:val="0"/>
                <w:numId w:val="2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配合机场方演出的团队专业资质与人员配置（5分）。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合作专业演奏人员应具有大型公共空间演奏经验。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合作专业演奏人员≥15位：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合作专业演奏人员10-14位：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3分；；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合作专业演奏人员1-9位：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无演奏人员配置说明：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（申请人需提供演奏人员清单及演出经验证明材料复印件并加盖公章，专业演奏人员可以含</w:t>
            </w: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签约/合作演奏人员</w:t>
            </w: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  <w:p>
            <w:pPr>
              <w:keepLines/>
              <w:numPr>
                <w:ilvl w:val="0"/>
                <w:numId w:val="2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配合机场方演出曲目策划（5分）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①曲目数量≥50首，分类清晰（古典、流行、民族、影视、儿童等，至少覆盖4类，得2分；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②曲目播放区分日常时段及节假日专题（附具体曲目示例），结合机场旅客流量特征，具有可操作性，得1分；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③曲目含有非遗/地方特色音乐改编、原创改编曲目（附具体曲目示例）、旅客点弹互动曲目清单、结合其他表演形式等，得2分。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（版权要求：投标人须确保曲目版权合法合规）</w:t>
            </w:r>
          </w:p>
          <w:p>
            <w:pPr>
              <w:keepLines/>
              <w:numPr>
                <w:ilvl w:val="0"/>
                <w:numId w:val="2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机场方要求的法定节假日及重大活动演出安排（10分）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①演出场次可覆盖的范围（法定节假日：包含元旦、春节、五一、端午、中秋、国庆，采购人将从中选取约2个节假日开展活动）：5个以上法定节假日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6分；3-4个法定节假日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4分；1-2个法定节假日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2分；无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不得分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②现场演出方案含有文化特色的主题演出（如春节·中国民歌钢琴改编、中秋·赏月主题音乐会、国庆·红色经典展演等），附具体曲目编排及演出形式说明，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1分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③现场演出方案含有旅客可参与的互动环节，将演出与旅客体验深度融合，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1分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bookmarkStart w:id="1" w:name="OLE_LINK3"/>
            <w:r>
              <w:rPr>
                <w:rFonts w:ascii="仿宋_GB2312" w:eastAsia="仿宋_GB2312" w:hAnsi="仿宋_GB2312" w:cs="仿宋_GB2312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④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格外提供旅客试弹同品牌钢琴：得1分/台，不超过2分。</w:t>
            </w:r>
          </w:p>
          <w:p>
            <w:pPr>
              <w:keepLines/>
              <w:numPr>
                <w:ilvl w:val="0"/>
                <w:numId w:val="2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bookmarkEnd w:id="1"/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合作方自行开展的旅客互动体验与公益展演计划（5分）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策划旅客可参与的互动活动（如音乐快闪、旅客即兴弹奏指导、小型音乐沙龙等）的公益展演，方案能提升旅客出行体验，丰富机场人文内涵。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方案详细、场次明确（每年3-4场）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4-5分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方案详细、场次明确（每年1-2场）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2-3分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default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有基本设想但无量化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0-1分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both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展览方案35%（须在评审现场展示和讲解）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35分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default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钢琴配置、自动演奏、旅客弹奏管理配合方案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1、钢琴配置型号、规格与品质（5分）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①提供完整详细的技术参数，包括但不限于：尺寸（长×宽×高）、材质、音板工艺、击弦机、弦槌、琴弦、键盘、弦列设计、踏板等，得1分；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②钢琴长度≥151CM，得2分；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③音板为实木音板，采用径向切割工艺，材质为高海拔云杉/鱼鳞松等优质共鸣木材，得2分。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（需提供产品说明书复印件、技术白皮书或厂家出具的参数证明资料并加盖公章）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自动演奏技术方案（14分）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所投钢琴具备自动演奏、机器人演奏等可实现自主弹奏的功能。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①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演奏性能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：型号明确，演奏还原度高，功能完善：定时播放、音量调节等；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优秀得6-7分，良好得4-5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分，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一般得2-3分，差得0-1分；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②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曲库与播放：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曲库丰富（≥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100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首）、分类清晰；有播放策略和更新计划；支持远程管理、日志等：优秀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4-5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分，良好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2-3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分，一般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1分，差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0分；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③演奏交互大屏，支持瀑布流跟弹或数字曲谱高亮引导，降低旅客参与门槛，加2分；无演奏交互大屏，</w:t>
            </w:r>
            <w:r>
              <w:rPr>
                <w:rFonts w:ascii="Helvetica" w:eastAsia="Helvetica" w:hAnsi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highlight w:val="none"/>
                <w:shd w:val="clear" w:color="auto" w:fill="FFFFFF"/>
              </w:rPr>
              <w:t>手机及平板电脑便可以自由选择喜欢的乐曲播放，组建个人的曲目播放单</w:t>
            </w:r>
            <w:r>
              <w:rPr>
                <w:rFonts w:ascii="Helvetica" w:eastAsia="宋体" w:hAnsi="Helvetica" w:cs="Helvetica" w:hint="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得1分。此项最多加2分。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3、</w:t>
            </w:r>
            <w:r>
              <w:rPr>
                <w:rFonts w:ascii="宋体" w:eastAsia="宋体" w:hAnsi="宋体" w:cs="宋体" w:hint="eastAsia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场地打造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方案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16分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default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bookmarkStart w:id="2" w:name="OLE_LINK1"/>
            <w:r>
              <w:rPr>
                <w:rFonts w:ascii="宋体" w:eastAsia="宋体" w:hAnsi="宋体" w:cs="宋体" w:hint="eastAsia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需分别提供 T1、T2 航站楼钢琴点位两套独立场地打造方案，每套方案主题鲜明、创意新颖，与音乐文化主题高度契合，视觉效果突出，具有较强艺术感染力。方案内容完整，含效果图、施工图纸、材料清单等；色彩、材质、灯光设计与航站楼既有装修风格及周边环境协调统一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ascii="宋体" w:eastAsia="宋体" w:hAnsi="宋体" w:cs="宋体" w:hint="eastAsia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单套方案评分标准（每套满分8分）优秀得6-8分，良好得3-5分，一般得1-2分，差的或不提供不得分，场地打造方案共16分。</w:t>
            </w:r>
            <w:bookmarkEnd w:id="2"/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both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管理与维护</w:t>
            </w:r>
          </w:p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20分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旅客弹奏配合（10分）</w:t>
            </w:r>
          </w:p>
          <w:p>
            <w:pPr>
              <w:keepLines/>
              <w:numPr>
                <w:ilvl w:val="0"/>
                <w:numId w:val="0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①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需落实文明弹奏提示，设置中英文提示牌明确弹奏时长、音量控制、排队等候等礼仪规范；配齐礼宾带、防滑地垫等防护设施；设备故障应急处置方案；明确与机场现场管理部门的联络人员及信息通报流程。</w:t>
            </w:r>
          </w:p>
          <w:p>
            <w:pPr>
              <w:keepLines/>
              <w:numPr>
                <w:ilvl w:val="0"/>
                <w:numId w:val="0"/>
              </w:numPr>
              <w:kinsoku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评分标准：落实各项要求到位、管理体系完善为优秀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5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6分；基本落实相关管理举措为良好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4分；部分落实管理要求为一般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2分；未落实相关管理措施为差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不得分；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②</w:t>
            </w: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弹奏体验管理方案，须在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钢琴区域配套简易操作指引牌等；策划落地旅客弹奏互动活动或可充分调动旅客参与热情的专项方案，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方案优秀得4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分；基本落实相关管理举措为良好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3分；部分落实管理要求为一般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得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2分；未落实相关管理措施为差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不得分。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养护及故障应急响应方案（7分）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日常养护方案内容详实、标准完整，全面涵盖设备养护流程、养护频次大于基本要求（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2次/年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）、养护规范、质量标准、检查细则等核心内容，条款清晰、可落地执行;同时故障应急环节须明确故障排查、现场处置流程，并提供故障情况下可替换同档次钢琴的备用处置方案，相关方案优秀得5-7分，良好得2-4分，一般得1分，差的不得分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日常运营管理配合机制（3分）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须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建立完善的与机场方日常沟通联络及信息通报机制，对接责任人、沟通渠道、响应时限界定清晰，流程规范合理；同时明确接获机场通知后的响应时效、人员调配安排及现场配套实施方案，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方案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eastAsia="zh-CN"/>
              </w:rPr>
              <w:t>科学，方案落地性、可操作性强</w:t>
            </w:r>
            <w:r>
              <w:rPr>
                <w:rFonts w:ascii="宋体" w:eastAsia="宋体" w:hAnsi="宋体" w:cs="宋体" w:hint="eastAsia"/>
                <w:color w:val="auto"/>
                <w:highlight w:val="none"/>
                <w:u w:val="none"/>
                <w:lang w:val="en-US" w:eastAsia="zh-CN"/>
              </w:rPr>
              <w:t>优秀得3分，良好得2分，一般得1分，未提供或差的不得分</w:t>
            </w:r>
            <w:r>
              <w:rPr>
                <w:rFonts w:ascii="宋体" w:eastAsia="宋体" w:hAnsi="宋体" w:cs="宋体" w:hint="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both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W w:w="9285" w:type="dxa"/>
          <w:tblInd w:w="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/>
        </w:trPr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outlineLvl w:val="0"/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备注：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outlineLvl w:val="0"/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1.第3大项“演出合作方案”和第4大项“展览方案”投标单位须提前将方案放入U盘中，在评审现场进行方案展示和讲解，否则方案不得分。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outlineLvl w:val="0"/>
              <w:rPr>
                <w:rFonts w:ascii="宋体" w:eastAsia="宋体" w:hAnsi="宋体" w:cs="宋体" w:hint="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2.待拟定具体招标文件时可对综合评分表进行细微调整，框架原则上保持不变。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textAlignment w:val="baseline"/>
        <w:outlineLvl w:val="0"/>
        <w:rPr>
          <w:rFonts w:ascii="黑体" w:eastAsia="黑体" w:hAnsi="黑体" w:cs="黑体" w:hint="default"/>
          <w:spacing w:val="-9"/>
          <w:sz w:val="32"/>
          <w:szCs w:val="32"/>
          <w:highlight w:val="none"/>
          <w:lang w:val="en-US" w:eastAsia="zh-CN"/>
        </w:rPr>
      </w:pPr>
    </w:p>
    <w:sectPr>
      <w:footerReference w:type="default" r:id="rId4"/>
      <w:pgSz w:w="11906" w:h="16838"/>
      <w:pgMar w:top="1258" w:right="1474" w:bottom="1629" w:left="1587" w:header="851" w:footer="992" w:gutter="0"/>
      <w:pgNumType w:fmt="numberInDash"/>
      <w:cols w:num="1" w:space="0"/>
      <w:rtlGutter w:val="0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rPr>
        <w:rFonts w:ascii="宋体" w:eastAsia="宋体" w:hAnsi="宋体" w:cs="宋体"/>
        <w:sz w:val="28"/>
        <w:szCs w:val="28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08E37C"/>
    <w:multiLevelType w:val="singleLevel"/>
    <w:tmpl w:val="8708E37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>
    <w:nsid w:val="9E3E5E1F"/>
    <w:multiLevelType w:val="singleLevel"/>
    <w:tmpl w:val="9E3E5E1F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2">
    <w:nsid w:val="F4AF4709"/>
    <w:multiLevelType w:val="singleLevel"/>
    <w:tmpl w:val="F4AF4709"/>
    <w:lvl w:ilvl="0">
      <w:start w:val="2"/>
      <w:numFmt w:val="decimal"/>
      <w:suff w:val="nothing"/>
      <w:lvlText w:val="%1、"/>
      <w:lvlJc w:val="left"/>
    </w:lvl>
  </w:abstractNum>
  <w:abstractNum w:abstractNumId="3">
    <w:nsid w:val="62852611"/>
    <w:multiLevelType w:val="singleLevel"/>
    <w:tmpl w:val="62852611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FirstIndent21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</w:pPr>
    <w:rPr>
      <w:rFonts w:ascii="宋体" w:eastAsia="宋体" w:hAnsi="宋体" w:cs="宋体" w:hint="eastAsia"/>
      <w:b/>
      <w:kern w:val="0"/>
      <w:sz w:val="27"/>
      <w:szCs w:val="27"/>
      <w:lang w:val="en-US" w:eastAsia="zh-CN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FirstIndent21">
    <w:name w:val="Body Text First Indent 21"/>
    <w:qFormat/>
    <w:pPr>
      <w:widowControl w:val="0"/>
      <w:autoSpaceDE/>
      <w:autoSpaceDN/>
      <w:snapToGrid/>
      <w:ind w:left="420" w:firstLine="42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CommentText">
    <w:name w:val="annotation text"/>
    <w:basedOn w:val="Normal"/>
    <w:qFormat/>
    <w:pPr>
      <w:jc w:val="left"/>
    </w:pPr>
  </w:style>
  <w:style w:type="paragraph" w:styleId="BodyText">
    <w:name w:val="Body Text"/>
    <w:basedOn w:val="Normal"/>
    <w:semiHidden/>
    <w:qFormat/>
    <w:rPr>
      <w:rFonts w:ascii="FangSong_GB2312" w:eastAsia="FangSong_GB2312" w:hAnsi="FangSong_GB2312" w:cs="FangSong_GB2312"/>
      <w:sz w:val="31"/>
      <w:szCs w:val="31"/>
      <w:lang w:val="en-US" w:eastAsia="en-US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DefaultParagraphFont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character" w:customStyle="1" w:styleId="font71">
    <w:name w:val="font71"/>
    <w:basedOn w:val="DefaultParagraphFont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2596</Words>
  <Characters>2705</Characters>
  <Application>Microsoft Office Word</Application>
  <DocSecurity>0</DocSecurity>
  <Lines>0</Lines>
  <Paragraphs>0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2026-08-26T01:03:00Z</cp:lastPrinted>
  <dcterms:created xsi:type="dcterms:W3CDTF">2026-04-03T06:41:00Z</dcterms:created>
  <dcterms:modified xsi:type="dcterms:W3CDTF">2026-08-28T14:15:10Z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A114C889DE6D480789A3A46294A382F2_13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eyJoZGlkIjoiNTc4OGE4YjhmZGZmMmQ5ZmYzZWE5OTgxZWU1ZDA3ZDQiLCJ1c2VySWQiOiI1MTIxMzMxMTYifQ==</vt:lpwstr>
  </property>
</Properties>
</file>